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78D02C" w14:textId="77777777" w:rsidR="00630A39" w:rsidRDefault="00FD457D">
      <w:r>
        <w:rPr>
          <w:rFonts w:ascii="Calibri" w:hAnsi="Calibri" w:cs="Arial"/>
          <w:b/>
          <w:bCs/>
          <w:noProof/>
          <w:sz w:val="20"/>
          <w:szCs w:val="20"/>
          <w:lang w:eastAsia="en-GB"/>
        </w:rPr>
        <w:drawing>
          <wp:anchor distT="0" distB="0" distL="114300" distR="114300" simplePos="0" relativeHeight="251651072" behindDoc="0" locked="0" layoutInCell="1" allowOverlap="1" wp14:anchorId="36B23378" wp14:editId="4853EBAE">
            <wp:simplePos x="0" y="0"/>
            <wp:positionH relativeFrom="column">
              <wp:posOffset>-45085</wp:posOffset>
            </wp:positionH>
            <wp:positionV relativeFrom="paragraph">
              <wp:posOffset>-145415</wp:posOffset>
            </wp:positionV>
            <wp:extent cx="2491740" cy="1275715"/>
            <wp:effectExtent l="0" t="0" r="3810" b="635"/>
            <wp:wrapSquare wrapText="bothSides"/>
            <wp:docPr id="17" name="Picture 17" descr="QCA 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CA logo_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91740" cy="1275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8D715C1" w14:textId="77777777" w:rsidR="00630A39" w:rsidRDefault="00630A39"/>
    <w:p w14:paraId="4E6A6AFF" w14:textId="77777777" w:rsidR="00207343" w:rsidRDefault="00207343"/>
    <w:p w14:paraId="6397A954" w14:textId="77777777" w:rsidR="00630A39" w:rsidRDefault="00630A39"/>
    <w:p w14:paraId="4C47DC8C" w14:textId="77777777" w:rsidR="00FD457D" w:rsidRDefault="00FD457D" w:rsidP="00FD457D">
      <w:pPr>
        <w:spacing w:after="0"/>
        <w:rPr>
          <w:rFonts w:ascii="Frutiger LT Std 45 Light" w:hAnsi="Frutiger LT Std 45 Light"/>
          <w:b/>
          <w:sz w:val="40"/>
        </w:rPr>
      </w:pPr>
    </w:p>
    <w:p w14:paraId="7BE4C950" w14:textId="2E7701E7" w:rsidR="00FD457D" w:rsidRDefault="00304FB9" w:rsidP="00EC50C6">
      <w:pPr>
        <w:spacing w:after="0"/>
        <w:jc w:val="both"/>
        <w:rPr>
          <w:rFonts w:ascii="Frutiger LT Std 45 Light" w:hAnsi="Frutiger LT Std 45 Light"/>
          <w:b/>
          <w:sz w:val="40"/>
        </w:rPr>
      </w:pPr>
      <w:r>
        <w:rPr>
          <w:rFonts w:ascii="Frutiger LT Std 45 Light" w:hAnsi="Frutiger LT Std 45 Light"/>
          <w:b/>
          <w:sz w:val="40"/>
        </w:rPr>
        <w:t>Generating growth in quoted companies</w:t>
      </w:r>
    </w:p>
    <w:p w14:paraId="130BF5D4" w14:textId="070AE5B4" w:rsidR="00630A39" w:rsidRPr="00010699" w:rsidRDefault="00630A39" w:rsidP="00EC50C6">
      <w:pPr>
        <w:spacing w:after="0"/>
        <w:jc w:val="both"/>
        <w:rPr>
          <w:rFonts w:ascii="Frutiger LT Std 45 Light" w:hAnsi="Frutiger LT Std 45 Light"/>
          <w:sz w:val="40"/>
        </w:rPr>
      </w:pPr>
      <w:r w:rsidRPr="00010699">
        <w:rPr>
          <w:rFonts w:ascii="Frutiger LT Std 45 Light" w:hAnsi="Frutiger LT Std 45 Light"/>
          <w:sz w:val="40"/>
        </w:rPr>
        <w:br/>
      </w:r>
      <w:r w:rsidR="00F63C73">
        <w:rPr>
          <w:rFonts w:ascii="Frutiger LT Std 45 Light" w:hAnsi="Frutiger LT Std 45 Light"/>
          <w:sz w:val="40"/>
        </w:rPr>
        <w:t>B</w:t>
      </w:r>
      <w:r w:rsidR="00F63C73" w:rsidRPr="00010699">
        <w:rPr>
          <w:rFonts w:ascii="Frutiger LT Std 45 Light" w:hAnsi="Frutiger LT Std 45 Light"/>
          <w:sz w:val="40"/>
        </w:rPr>
        <w:t>udget</w:t>
      </w:r>
      <w:r w:rsidR="00F63C73">
        <w:rPr>
          <w:rFonts w:ascii="Frutiger LT Std 45 Light" w:hAnsi="Frutiger LT Std 45 Light"/>
          <w:sz w:val="40"/>
        </w:rPr>
        <w:t xml:space="preserve"> </w:t>
      </w:r>
      <w:r w:rsidR="00F20D92">
        <w:rPr>
          <w:rFonts w:ascii="Frutiger LT Std 45 Light" w:hAnsi="Frutiger LT Std 45 Light"/>
          <w:sz w:val="40"/>
        </w:rPr>
        <w:t>2019</w:t>
      </w:r>
      <w:r w:rsidR="00892CE7">
        <w:rPr>
          <w:rFonts w:ascii="Frutiger LT Std 45 Light" w:hAnsi="Frutiger LT Std 45 Light"/>
          <w:sz w:val="40"/>
        </w:rPr>
        <w:t xml:space="preserve">: </w:t>
      </w:r>
      <w:r w:rsidR="003B1FFE">
        <w:rPr>
          <w:rFonts w:ascii="Frutiger LT Std 45 Light" w:hAnsi="Frutiger LT Std 45 Light"/>
          <w:sz w:val="40"/>
        </w:rPr>
        <w:t>Proposals for taxation reform</w:t>
      </w:r>
    </w:p>
    <w:p w14:paraId="4CE291EB" w14:textId="77777777" w:rsidR="00373FD8" w:rsidRDefault="00630A39" w:rsidP="00F72A74">
      <w:pPr>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B04BE49" w14:textId="77777777" w:rsidR="00373FD8" w:rsidRPr="00373FD8" w:rsidRDefault="00373FD8" w:rsidP="00373FD8">
      <w:r>
        <w:rPr>
          <w:noProof/>
          <w:lang w:eastAsia="en-GB"/>
        </w:rPr>
        <mc:AlternateContent>
          <mc:Choice Requires="wps">
            <w:drawing>
              <wp:anchor distT="45720" distB="45720" distL="114300" distR="114300" simplePos="0" relativeHeight="251652096" behindDoc="0" locked="0" layoutInCell="1" allowOverlap="1" wp14:anchorId="140A87D5" wp14:editId="56854B60">
                <wp:simplePos x="0" y="0"/>
                <wp:positionH relativeFrom="column">
                  <wp:posOffset>-646611</wp:posOffset>
                </wp:positionH>
                <wp:positionV relativeFrom="page">
                  <wp:posOffset>4088674</wp:posOffset>
                </wp:positionV>
                <wp:extent cx="7487920" cy="581279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7920" cy="5812790"/>
                        </a:xfrm>
                        <a:prstGeom prst="rect">
                          <a:avLst/>
                        </a:prstGeom>
                        <a:solidFill>
                          <a:srgbClr val="FFFFFF"/>
                        </a:solidFill>
                        <a:ln w="9525">
                          <a:noFill/>
                          <a:miter lim="800000"/>
                          <a:headEnd/>
                          <a:tailEnd/>
                        </a:ln>
                      </wps:spPr>
                      <wps:txbx>
                        <w:txbxContent>
                          <w:p w14:paraId="5AE45E11" w14:textId="77777777" w:rsidR="006A5868" w:rsidRDefault="006A5868">
                            <w:r>
                              <w:rPr>
                                <w:noProof/>
                                <w:lang w:eastAsia="en-GB"/>
                              </w:rPr>
                              <w:drawing>
                                <wp:inline distT="0" distB="0" distL="0" distR="0" wp14:anchorId="7FFF561F" wp14:editId="2778857C">
                                  <wp:extent cx="7153275" cy="648563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QCABudgetRepsQCAColoursImageU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94447" cy="652296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0A87D5" id="_x0000_t202" coordsize="21600,21600" o:spt="202" path="m,l,21600r21600,l21600,xe">
                <v:stroke joinstyle="miter"/>
                <v:path gradientshapeok="t" o:connecttype="rect"/>
              </v:shapetype>
              <v:shape id="_x0000_s1026" type="#_x0000_t202" style="position:absolute;margin-left:-50.9pt;margin-top:321.95pt;width:589.6pt;height:457.7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" stroked="f">
                <v:textbox>
                  <w:txbxContent>
                    <w:p w14:paraId="5AE45E11" w14:textId="77777777" w:rsidR="006A5868" w:rsidRDefault="006A5868">
                      <w:r>
                        <w:rPr>
                          <w:noProof/>
                          <w:lang w:eastAsia="en-GB"/>
                        </w:rPr>
                        <w:drawing>
                          <wp:inline distT="0" distB="0" distL="0" distR="0" wp14:anchorId="7FFF561F" wp14:editId="2778857C">
                            <wp:extent cx="7153275" cy="648563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QCABudgetRepsQCAColoursImageU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194447" cy="6522965"/>
                                    </a:xfrm>
                                    <a:prstGeom prst="rect">
                                      <a:avLst/>
                                    </a:prstGeom>
                                  </pic:spPr>
                                </pic:pic>
                              </a:graphicData>
                            </a:graphic>
                          </wp:inline>
                        </w:drawing>
                      </w:r>
                    </w:p>
                  </w:txbxContent>
                </v:textbox>
                <w10:wrap anchory="page"/>
              </v:shape>
            </w:pict>
          </mc:Fallback>
        </mc:AlternateContent>
      </w:r>
    </w:p>
    <w:p w14:paraId="7004CF28" w14:textId="77777777" w:rsidR="00373FD8" w:rsidRPr="00373FD8" w:rsidRDefault="00373FD8" w:rsidP="00373FD8"/>
    <w:p w14:paraId="038C2D2B" w14:textId="77777777" w:rsidR="00373FD8" w:rsidRPr="00373FD8" w:rsidRDefault="00373FD8" w:rsidP="00373FD8"/>
    <w:p w14:paraId="33AD7302" w14:textId="77777777" w:rsidR="00373FD8" w:rsidRPr="00373FD8" w:rsidRDefault="00373FD8" w:rsidP="00373FD8"/>
    <w:p w14:paraId="2021E9E5" w14:textId="77777777" w:rsidR="00373FD8" w:rsidRPr="00373FD8" w:rsidRDefault="00373FD8" w:rsidP="00373FD8"/>
    <w:p w14:paraId="5016CBAF" w14:textId="77777777" w:rsidR="00373FD8" w:rsidRPr="00373FD8" w:rsidRDefault="00373FD8" w:rsidP="00373FD8"/>
    <w:p w14:paraId="1590DC15" w14:textId="77777777" w:rsidR="00373FD8" w:rsidRPr="00373FD8" w:rsidRDefault="00373FD8" w:rsidP="00373FD8"/>
    <w:p w14:paraId="7157CD7E" w14:textId="77777777" w:rsidR="00373FD8" w:rsidRPr="00373FD8" w:rsidRDefault="00373FD8" w:rsidP="00373FD8"/>
    <w:p w14:paraId="50735FFF" w14:textId="77777777" w:rsidR="00373FD8" w:rsidRPr="00373FD8" w:rsidRDefault="00373FD8" w:rsidP="00373FD8"/>
    <w:p w14:paraId="753691F9" w14:textId="77777777" w:rsidR="00373FD8" w:rsidRPr="00373FD8" w:rsidRDefault="00373FD8" w:rsidP="00373FD8"/>
    <w:p w14:paraId="498B0394" w14:textId="77777777" w:rsidR="00373FD8" w:rsidRPr="00373FD8" w:rsidRDefault="00373FD8" w:rsidP="00373FD8"/>
    <w:p w14:paraId="751523FF" w14:textId="77777777" w:rsidR="00373FD8" w:rsidRDefault="00373FD8" w:rsidP="00373FD8"/>
    <w:p w14:paraId="4712E8AB" w14:textId="77777777" w:rsidR="00630A39" w:rsidRPr="00373FD8" w:rsidRDefault="00373FD8" w:rsidP="00373FD8">
      <w:pPr>
        <w:tabs>
          <w:tab w:val="center" w:pos="4873"/>
        </w:tabs>
        <w:sectPr w:rsidR="00630A39" w:rsidRPr="00373FD8" w:rsidSect="00EF03BB">
          <w:headerReference w:type="default" r:id="rId11"/>
          <w:footerReference w:type="default" r:id="rId12"/>
          <w:footerReference w:type="first" r:id="rId13"/>
          <w:pgSz w:w="11906" w:h="16838"/>
          <w:pgMar w:top="1134" w:right="1134" w:bottom="1134" w:left="1134" w:header="708" w:footer="708" w:gutter="0"/>
          <w:cols w:space="708"/>
          <w:titlePg/>
          <w:docGrid w:linePitch="360"/>
        </w:sectPr>
      </w:pPr>
      <w:r>
        <w:tab/>
      </w:r>
    </w:p>
    <w:sdt>
      <w:sdtPr>
        <w:rPr>
          <w:rFonts w:asciiTheme="minorHAnsi" w:eastAsiaTheme="minorHAnsi" w:hAnsiTheme="minorHAnsi" w:cstheme="minorBidi"/>
          <w:b w:val="0"/>
          <w:bCs w:val="0"/>
          <w:color w:val="auto"/>
          <w:sz w:val="22"/>
          <w:szCs w:val="22"/>
          <w:lang w:val="en-GB" w:eastAsia="en-US"/>
        </w:rPr>
        <w:id w:val="1592814871"/>
        <w:docPartObj>
          <w:docPartGallery w:val="Table of Contents"/>
          <w:docPartUnique/>
        </w:docPartObj>
      </w:sdtPr>
      <w:sdtEndPr>
        <w:rPr>
          <w:noProof/>
        </w:rPr>
      </w:sdtEndPr>
      <w:sdtContent>
        <w:p w14:paraId="3B74CBDA" w14:textId="77777777" w:rsidR="001C34CC" w:rsidRPr="0012543E" w:rsidRDefault="001C34CC" w:rsidP="00947213">
          <w:pPr>
            <w:pStyle w:val="TOCHeading"/>
            <w:spacing w:before="0" w:after="160"/>
            <w:jc w:val="both"/>
            <w:rPr>
              <w:rFonts w:ascii="Calibri" w:hAnsi="Calibri"/>
              <w:color w:val="auto"/>
              <w:sz w:val="30"/>
              <w:szCs w:val="30"/>
            </w:rPr>
          </w:pPr>
          <w:r w:rsidRPr="0012543E">
            <w:rPr>
              <w:rFonts w:ascii="Calibri" w:hAnsi="Calibri"/>
              <w:color w:val="auto"/>
              <w:sz w:val="30"/>
              <w:szCs w:val="30"/>
            </w:rPr>
            <w:t>Contents</w:t>
          </w:r>
        </w:p>
        <w:bookmarkStart w:id="0" w:name="_GoBack"/>
        <w:bookmarkEnd w:id="0"/>
        <w:p w14:paraId="346B06D5" w14:textId="77777777" w:rsidR="00CD5B08" w:rsidRDefault="001C34CC">
          <w:pPr>
            <w:pStyle w:val="TOC1"/>
            <w:rPr>
              <w:rFonts w:asciiTheme="minorHAnsi" w:eastAsiaTheme="minorEastAsia" w:hAnsiTheme="minorHAnsi"/>
              <w:b w:val="0"/>
              <w:sz w:val="22"/>
              <w:lang w:eastAsia="en-GB"/>
            </w:rPr>
          </w:pPr>
          <w:r w:rsidRPr="001C34CC">
            <w:rPr>
              <w:noProof w:val="0"/>
            </w:rPr>
            <w:fldChar w:fldCharType="begin"/>
          </w:r>
          <w:r w:rsidRPr="001C34CC">
            <w:instrText xml:space="preserve"> TOC \o "1-3" \h \z \u </w:instrText>
          </w:r>
          <w:r w:rsidRPr="001C34CC">
            <w:rPr>
              <w:noProof w:val="0"/>
            </w:rPr>
            <w:fldChar w:fldCharType="separate"/>
          </w:r>
          <w:hyperlink w:anchor="_Toc19093849" w:history="1">
            <w:r w:rsidR="00CD5B08" w:rsidRPr="00244090">
              <w:rPr>
                <w:rStyle w:val="Hyperlink"/>
              </w:rPr>
              <w:t>An introduction to the Quoted Companies Alliance</w:t>
            </w:r>
            <w:r w:rsidR="00CD5B08">
              <w:rPr>
                <w:webHidden/>
              </w:rPr>
              <w:tab/>
            </w:r>
            <w:r w:rsidR="00CD5B08">
              <w:rPr>
                <w:webHidden/>
              </w:rPr>
              <w:fldChar w:fldCharType="begin"/>
            </w:r>
            <w:r w:rsidR="00CD5B08">
              <w:rPr>
                <w:webHidden/>
              </w:rPr>
              <w:instrText xml:space="preserve"> PAGEREF _Toc19093849 \h </w:instrText>
            </w:r>
            <w:r w:rsidR="00CD5B08">
              <w:rPr>
                <w:webHidden/>
              </w:rPr>
            </w:r>
            <w:r w:rsidR="00CD5B08">
              <w:rPr>
                <w:webHidden/>
              </w:rPr>
              <w:fldChar w:fldCharType="separate"/>
            </w:r>
            <w:r w:rsidR="00CD5B08">
              <w:rPr>
                <w:webHidden/>
              </w:rPr>
              <w:t>3</w:t>
            </w:r>
            <w:r w:rsidR="00CD5B08">
              <w:rPr>
                <w:webHidden/>
              </w:rPr>
              <w:fldChar w:fldCharType="end"/>
            </w:r>
          </w:hyperlink>
        </w:p>
        <w:p w14:paraId="08F1E0A4" w14:textId="77777777" w:rsidR="00CD5B08" w:rsidRDefault="00CD5B08">
          <w:pPr>
            <w:pStyle w:val="TOC1"/>
            <w:rPr>
              <w:rFonts w:asciiTheme="minorHAnsi" w:eastAsiaTheme="minorEastAsia" w:hAnsiTheme="minorHAnsi"/>
              <w:b w:val="0"/>
              <w:sz w:val="22"/>
              <w:lang w:eastAsia="en-GB"/>
            </w:rPr>
          </w:pPr>
          <w:hyperlink w:anchor="_Toc19093850" w:history="1">
            <w:r w:rsidRPr="00244090">
              <w:rPr>
                <w:rStyle w:val="Hyperlink"/>
              </w:rPr>
              <w:t>Executive Summary</w:t>
            </w:r>
            <w:r>
              <w:rPr>
                <w:webHidden/>
              </w:rPr>
              <w:tab/>
            </w:r>
            <w:r>
              <w:rPr>
                <w:webHidden/>
              </w:rPr>
              <w:fldChar w:fldCharType="begin"/>
            </w:r>
            <w:r>
              <w:rPr>
                <w:webHidden/>
              </w:rPr>
              <w:instrText xml:space="preserve"> PAGEREF _Toc19093850 \h </w:instrText>
            </w:r>
            <w:r>
              <w:rPr>
                <w:webHidden/>
              </w:rPr>
            </w:r>
            <w:r>
              <w:rPr>
                <w:webHidden/>
              </w:rPr>
              <w:fldChar w:fldCharType="separate"/>
            </w:r>
            <w:r>
              <w:rPr>
                <w:webHidden/>
              </w:rPr>
              <w:t>5</w:t>
            </w:r>
            <w:r>
              <w:rPr>
                <w:webHidden/>
              </w:rPr>
              <w:fldChar w:fldCharType="end"/>
            </w:r>
          </w:hyperlink>
        </w:p>
        <w:p w14:paraId="42439D17" w14:textId="77777777" w:rsidR="00CD5B08" w:rsidRDefault="00CD5B08">
          <w:pPr>
            <w:pStyle w:val="TOC1"/>
            <w:rPr>
              <w:rFonts w:asciiTheme="minorHAnsi" w:eastAsiaTheme="minorEastAsia" w:hAnsiTheme="minorHAnsi"/>
              <w:b w:val="0"/>
              <w:sz w:val="22"/>
              <w:lang w:eastAsia="en-GB"/>
            </w:rPr>
          </w:pPr>
          <w:hyperlink w:anchor="_Toc19093851" w:history="1">
            <w:r w:rsidRPr="00244090">
              <w:rPr>
                <w:rStyle w:val="Hyperlink"/>
              </w:rPr>
              <w:t>I.</w:t>
            </w:r>
            <w:r>
              <w:rPr>
                <w:rFonts w:asciiTheme="minorHAnsi" w:eastAsiaTheme="minorEastAsia" w:hAnsiTheme="minorHAnsi"/>
                <w:b w:val="0"/>
                <w:sz w:val="22"/>
                <w:lang w:eastAsia="en-GB"/>
              </w:rPr>
              <w:tab/>
            </w:r>
            <w:r w:rsidRPr="00244090">
              <w:rPr>
                <w:rStyle w:val="Hyperlink"/>
              </w:rPr>
              <w:t>Creating a competitive tax system</w:t>
            </w:r>
            <w:r>
              <w:rPr>
                <w:webHidden/>
              </w:rPr>
              <w:tab/>
            </w:r>
            <w:r>
              <w:rPr>
                <w:webHidden/>
              </w:rPr>
              <w:fldChar w:fldCharType="begin"/>
            </w:r>
            <w:r>
              <w:rPr>
                <w:webHidden/>
              </w:rPr>
              <w:instrText xml:space="preserve"> PAGEREF _Toc19093851 \h </w:instrText>
            </w:r>
            <w:r>
              <w:rPr>
                <w:webHidden/>
              </w:rPr>
            </w:r>
            <w:r>
              <w:rPr>
                <w:webHidden/>
              </w:rPr>
              <w:fldChar w:fldCharType="separate"/>
            </w:r>
            <w:r>
              <w:rPr>
                <w:webHidden/>
              </w:rPr>
              <w:t>8</w:t>
            </w:r>
            <w:r>
              <w:rPr>
                <w:webHidden/>
              </w:rPr>
              <w:fldChar w:fldCharType="end"/>
            </w:r>
          </w:hyperlink>
        </w:p>
        <w:p w14:paraId="36EE46F6" w14:textId="77777777" w:rsidR="00CD5B08" w:rsidRDefault="00CD5B08">
          <w:pPr>
            <w:pStyle w:val="TOC2"/>
            <w:rPr>
              <w:rFonts w:eastAsiaTheme="minorEastAsia"/>
              <w:noProof/>
              <w:lang w:eastAsia="en-GB"/>
            </w:rPr>
          </w:pPr>
          <w:hyperlink w:anchor="_Toc19093852" w:history="1">
            <w:r w:rsidRPr="00244090">
              <w:rPr>
                <w:rStyle w:val="Hyperlink"/>
                <w:rFonts w:ascii="Calibri" w:hAnsi="Calibri"/>
                <w:noProof/>
              </w:rPr>
              <w:t>A.</w:t>
            </w:r>
            <w:r>
              <w:rPr>
                <w:rFonts w:eastAsiaTheme="minorEastAsia"/>
                <w:noProof/>
                <w:lang w:eastAsia="en-GB"/>
              </w:rPr>
              <w:tab/>
            </w:r>
            <w:r w:rsidRPr="00244090">
              <w:rPr>
                <w:rStyle w:val="Hyperlink"/>
                <w:rFonts w:ascii="Calibri" w:hAnsi="Calibri"/>
                <w:noProof/>
              </w:rPr>
              <w:t>Levelling the playing field between debt and equity</w:t>
            </w:r>
            <w:r>
              <w:rPr>
                <w:noProof/>
                <w:webHidden/>
              </w:rPr>
              <w:tab/>
            </w:r>
            <w:r>
              <w:rPr>
                <w:noProof/>
                <w:webHidden/>
              </w:rPr>
              <w:fldChar w:fldCharType="begin"/>
            </w:r>
            <w:r>
              <w:rPr>
                <w:noProof/>
                <w:webHidden/>
              </w:rPr>
              <w:instrText xml:space="preserve"> PAGEREF _Toc19093852 \h </w:instrText>
            </w:r>
            <w:r>
              <w:rPr>
                <w:noProof/>
                <w:webHidden/>
              </w:rPr>
            </w:r>
            <w:r>
              <w:rPr>
                <w:noProof/>
                <w:webHidden/>
              </w:rPr>
              <w:fldChar w:fldCharType="separate"/>
            </w:r>
            <w:r>
              <w:rPr>
                <w:noProof/>
                <w:webHidden/>
              </w:rPr>
              <w:t>8</w:t>
            </w:r>
            <w:r>
              <w:rPr>
                <w:noProof/>
                <w:webHidden/>
              </w:rPr>
              <w:fldChar w:fldCharType="end"/>
            </w:r>
          </w:hyperlink>
        </w:p>
        <w:p w14:paraId="6E250968" w14:textId="77777777" w:rsidR="00CD5B08" w:rsidRDefault="00CD5B08">
          <w:pPr>
            <w:pStyle w:val="TOC2"/>
            <w:rPr>
              <w:rFonts w:eastAsiaTheme="minorEastAsia"/>
              <w:noProof/>
              <w:lang w:eastAsia="en-GB"/>
            </w:rPr>
          </w:pPr>
          <w:hyperlink w:anchor="_Toc19093853" w:history="1">
            <w:r w:rsidRPr="00244090">
              <w:rPr>
                <w:rStyle w:val="Hyperlink"/>
                <w:rFonts w:ascii="Calibri" w:hAnsi="Calibri" w:cs="Arial"/>
                <w:noProof/>
                <w:lang w:val="en"/>
              </w:rPr>
              <w:t>B.</w:t>
            </w:r>
            <w:r>
              <w:rPr>
                <w:rFonts w:eastAsiaTheme="minorEastAsia"/>
                <w:noProof/>
                <w:lang w:eastAsia="en-GB"/>
              </w:rPr>
              <w:tab/>
            </w:r>
            <w:r w:rsidRPr="00244090">
              <w:rPr>
                <w:rStyle w:val="Hyperlink"/>
                <w:rFonts w:ascii="Calibri" w:hAnsi="Calibri"/>
                <w:noProof/>
              </w:rPr>
              <w:t>Permitting funds to invest in companies which qualify for Business Property Relief</w:t>
            </w:r>
            <w:r>
              <w:rPr>
                <w:noProof/>
                <w:webHidden/>
              </w:rPr>
              <w:tab/>
            </w:r>
            <w:r>
              <w:rPr>
                <w:noProof/>
                <w:webHidden/>
              </w:rPr>
              <w:fldChar w:fldCharType="begin"/>
            </w:r>
            <w:r>
              <w:rPr>
                <w:noProof/>
                <w:webHidden/>
              </w:rPr>
              <w:instrText xml:space="preserve"> PAGEREF _Toc19093853 \h </w:instrText>
            </w:r>
            <w:r>
              <w:rPr>
                <w:noProof/>
                <w:webHidden/>
              </w:rPr>
            </w:r>
            <w:r>
              <w:rPr>
                <w:noProof/>
                <w:webHidden/>
              </w:rPr>
              <w:fldChar w:fldCharType="separate"/>
            </w:r>
            <w:r>
              <w:rPr>
                <w:noProof/>
                <w:webHidden/>
              </w:rPr>
              <w:t>13</w:t>
            </w:r>
            <w:r>
              <w:rPr>
                <w:noProof/>
                <w:webHidden/>
              </w:rPr>
              <w:fldChar w:fldCharType="end"/>
            </w:r>
          </w:hyperlink>
        </w:p>
        <w:p w14:paraId="1DE6C3E8" w14:textId="77777777" w:rsidR="00CD5B08" w:rsidRDefault="00CD5B08">
          <w:pPr>
            <w:pStyle w:val="TOC2"/>
            <w:rPr>
              <w:rFonts w:eastAsiaTheme="minorEastAsia"/>
              <w:noProof/>
              <w:lang w:eastAsia="en-GB"/>
            </w:rPr>
          </w:pPr>
          <w:hyperlink w:anchor="_Toc19093854" w:history="1">
            <w:r w:rsidRPr="00244090">
              <w:rPr>
                <w:rStyle w:val="Hyperlink"/>
                <w:rFonts w:ascii="Calibri" w:hAnsi="Calibri"/>
                <w:noProof/>
              </w:rPr>
              <w:t>C.</w:t>
            </w:r>
            <w:r>
              <w:rPr>
                <w:rFonts w:eastAsiaTheme="minorEastAsia"/>
                <w:noProof/>
                <w:lang w:eastAsia="en-GB"/>
              </w:rPr>
              <w:tab/>
            </w:r>
            <w:r w:rsidRPr="00244090">
              <w:rPr>
                <w:rStyle w:val="Hyperlink"/>
                <w:rFonts w:ascii="Calibri" w:hAnsi="Calibri"/>
                <w:noProof/>
              </w:rPr>
              <w:t>Encouraging employee share ownership</w:t>
            </w:r>
            <w:r>
              <w:rPr>
                <w:noProof/>
                <w:webHidden/>
              </w:rPr>
              <w:tab/>
            </w:r>
            <w:r>
              <w:rPr>
                <w:noProof/>
                <w:webHidden/>
              </w:rPr>
              <w:fldChar w:fldCharType="begin"/>
            </w:r>
            <w:r>
              <w:rPr>
                <w:noProof/>
                <w:webHidden/>
              </w:rPr>
              <w:instrText xml:space="preserve"> PAGEREF _Toc19093854 \h </w:instrText>
            </w:r>
            <w:r>
              <w:rPr>
                <w:noProof/>
                <w:webHidden/>
              </w:rPr>
            </w:r>
            <w:r>
              <w:rPr>
                <w:noProof/>
                <w:webHidden/>
              </w:rPr>
              <w:fldChar w:fldCharType="separate"/>
            </w:r>
            <w:r>
              <w:rPr>
                <w:noProof/>
                <w:webHidden/>
              </w:rPr>
              <w:t>14</w:t>
            </w:r>
            <w:r>
              <w:rPr>
                <w:noProof/>
                <w:webHidden/>
              </w:rPr>
              <w:fldChar w:fldCharType="end"/>
            </w:r>
          </w:hyperlink>
        </w:p>
        <w:p w14:paraId="38F66F20" w14:textId="77777777" w:rsidR="00CD5B08" w:rsidRDefault="00CD5B08">
          <w:pPr>
            <w:pStyle w:val="TOC2"/>
            <w:rPr>
              <w:rFonts w:eastAsiaTheme="minorEastAsia"/>
              <w:noProof/>
              <w:lang w:eastAsia="en-GB"/>
            </w:rPr>
          </w:pPr>
          <w:hyperlink w:anchor="_Toc19093855" w:history="1">
            <w:r w:rsidRPr="00244090">
              <w:rPr>
                <w:rStyle w:val="Hyperlink"/>
                <w:rFonts w:ascii="Calibri" w:hAnsi="Calibri" w:cs="Arial"/>
                <w:noProof/>
                <w:lang w:val="en"/>
              </w:rPr>
              <w:t>D.</w:t>
            </w:r>
            <w:r>
              <w:rPr>
                <w:rFonts w:eastAsiaTheme="minorEastAsia"/>
                <w:noProof/>
                <w:lang w:eastAsia="en-GB"/>
              </w:rPr>
              <w:tab/>
            </w:r>
            <w:r w:rsidRPr="00244090">
              <w:rPr>
                <w:rStyle w:val="Hyperlink"/>
                <w:rFonts w:ascii="Calibri" w:hAnsi="Calibri" w:cs="Arial"/>
                <w:noProof/>
                <w:lang w:val="en"/>
              </w:rPr>
              <w:t>Permitting non-executive directors taking shares as part of their remuneration to pay income tax only after the sale of the shares</w:t>
            </w:r>
            <w:r>
              <w:rPr>
                <w:noProof/>
                <w:webHidden/>
              </w:rPr>
              <w:tab/>
            </w:r>
            <w:r>
              <w:rPr>
                <w:noProof/>
                <w:webHidden/>
              </w:rPr>
              <w:fldChar w:fldCharType="begin"/>
            </w:r>
            <w:r>
              <w:rPr>
                <w:noProof/>
                <w:webHidden/>
              </w:rPr>
              <w:instrText xml:space="preserve"> PAGEREF _Toc19093855 \h </w:instrText>
            </w:r>
            <w:r>
              <w:rPr>
                <w:noProof/>
                <w:webHidden/>
              </w:rPr>
            </w:r>
            <w:r>
              <w:rPr>
                <w:noProof/>
                <w:webHidden/>
              </w:rPr>
              <w:fldChar w:fldCharType="separate"/>
            </w:r>
            <w:r>
              <w:rPr>
                <w:noProof/>
                <w:webHidden/>
              </w:rPr>
              <w:t>18</w:t>
            </w:r>
            <w:r>
              <w:rPr>
                <w:noProof/>
                <w:webHidden/>
              </w:rPr>
              <w:fldChar w:fldCharType="end"/>
            </w:r>
          </w:hyperlink>
        </w:p>
        <w:p w14:paraId="61120247" w14:textId="77777777" w:rsidR="00CD5B08" w:rsidRDefault="00CD5B08">
          <w:pPr>
            <w:pStyle w:val="TOC2"/>
            <w:rPr>
              <w:rFonts w:eastAsiaTheme="minorEastAsia"/>
              <w:noProof/>
              <w:lang w:eastAsia="en-GB"/>
            </w:rPr>
          </w:pPr>
          <w:hyperlink w:anchor="_Toc19093856" w:history="1">
            <w:r w:rsidRPr="00244090">
              <w:rPr>
                <w:rStyle w:val="Hyperlink"/>
                <w:rFonts w:ascii="Calibri" w:hAnsi="Calibri"/>
                <w:noProof/>
              </w:rPr>
              <w:t>E.</w:t>
            </w:r>
            <w:r>
              <w:rPr>
                <w:rFonts w:eastAsiaTheme="minorEastAsia"/>
                <w:noProof/>
                <w:lang w:eastAsia="en-GB"/>
              </w:rPr>
              <w:tab/>
            </w:r>
            <w:r w:rsidRPr="00244090">
              <w:rPr>
                <w:rStyle w:val="Hyperlink"/>
                <w:rFonts w:ascii="Calibri" w:hAnsi="Calibri"/>
                <w:noProof/>
              </w:rPr>
              <w:t>Exempting or zero-rating from VAT any investment research on small-cap companies</w:t>
            </w:r>
            <w:r>
              <w:rPr>
                <w:noProof/>
                <w:webHidden/>
              </w:rPr>
              <w:tab/>
            </w:r>
            <w:r>
              <w:rPr>
                <w:noProof/>
                <w:webHidden/>
              </w:rPr>
              <w:fldChar w:fldCharType="begin"/>
            </w:r>
            <w:r>
              <w:rPr>
                <w:noProof/>
                <w:webHidden/>
              </w:rPr>
              <w:instrText xml:space="preserve"> PAGEREF _Toc19093856 \h </w:instrText>
            </w:r>
            <w:r>
              <w:rPr>
                <w:noProof/>
                <w:webHidden/>
              </w:rPr>
            </w:r>
            <w:r>
              <w:rPr>
                <w:noProof/>
                <w:webHidden/>
              </w:rPr>
              <w:fldChar w:fldCharType="separate"/>
            </w:r>
            <w:r>
              <w:rPr>
                <w:noProof/>
                <w:webHidden/>
              </w:rPr>
              <w:t>18</w:t>
            </w:r>
            <w:r>
              <w:rPr>
                <w:noProof/>
                <w:webHidden/>
              </w:rPr>
              <w:fldChar w:fldCharType="end"/>
            </w:r>
          </w:hyperlink>
        </w:p>
        <w:p w14:paraId="0AEE4DF7" w14:textId="77777777" w:rsidR="00CD5B08" w:rsidRDefault="00CD5B08">
          <w:pPr>
            <w:pStyle w:val="TOC1"/>
            <w:rPr>
              <w:rFonts w:asciiTheme="minorHAnsi" w:eastAsiaTheme="minorEastAsia" w:hAnsiTheme="minorHAnsi"/>
              <w:b w:val="0"/>
              <w:sz w:val="22"/>
              <w:lang w:eastAsia="en-GB"/>
            </w:rPr>
          </w:pPr>
          <w:hyperlink w:anchor="_Toc19093857" w:history="1">
            <w:r w:rsidRPr="00244090">
              <w:rPr>
                <w:rStyle w:val="Hyperlink"/>
              </w:rPr>
              <w:t>II.</w:t>
            </w:r>
            <w:r>
              <w:rPr>
                <w:rFonts w:asciiTheme="minorHAnsi" w:eastAsiaTheme="minorEastAsia" w:hAnsiTheme="minorHAnsi"/>
                <w:b w:val="0"/>
                <w:sz w:val="22"/>
                <w:lang w:eastAsia="en-GB"/>
              </w:rPr>
              <w:tab/>
            </w:r>
            <w:r w:rsidRPr="00244090">
              <w:rPr>
                <w:rStyle w:val="Hyperlink"/>
              </w:rPr>
              <w:t>Simplifying the tax system</w:t>
            </w:r>
            <w:r>
              <w:rPr>
                <w:webHidden/>
              </w:rPr>
              <w:tab/>
            </w:r>
            <w:r>
              <w:rPr>
                <w:webHidden/>
              </w:rPr>
              <w:fldChar w:fldCharType="begin"/>
            </w:r>
            <w:r>
              <w:rPr>
                <w:webHidden/>
              </w:rPr>
              <w:instrText xml:space="preserve"> PAGEREF _Toc19093857 \h </w:instrText>
            </w:r>
            <w:r>
              <w:rPr>
                <w:webHidden/>
              </w:rPr>
            </w:r>
            <w:r>
              <w:rPr>
                <w:webHidden/>
              </w:rPr>
              <w:fldChar w:fldCharType="separate"/>
            </w:r>
            <w:r>
              <w:rPr>
                <w:webHidden/>
              </w:rPr>
              <w:t>20</w:t>
            </w:r>
            <w:r>
              <w:rPr>
                <w:webHidden/>
              </w:rPr>
              <w:fldChar w:fldCharType="end"/>
            </w:r>
          </w:hyperlink>
        </w:p>
        <w:p w14:paraId="7331ACFB" w14:textId="77777777" w:rsidR="00CD5B08" w:rsidRDefault="00CD5B08">
          <w:pPr>
            <w:pStyle w:val="TOC2"/>
            <w:rPr>
              <w:rFonts w:eastAsiaTheme="minorEastAsia"/>
              <w:noProof/>
              <w:lang w:eastAsia="en-GB"/>
            </w:rPr>
          </w:pPr>
          <w:hyperlink w:anchor="_Toc19093858" w:history="1">
            <w:r w:rsidRPr="00244090">
              <w:rPr>
                <w:rStyle w:val="Hyperlink"/>
                <w:rFonts w:ascii="Calibri" w:hAnsi="Calibri" w:cs="Calibri"/>
                <w:noProof/>
              </w:rPr>
              <w:t>A.</w:t>
            </w:r>
            <w:r>
              <w:rPr>
                <w:rFonts w:eastAsiaTheme="minorEastAsia"/>
                <w:noProof/>
                <w:lang w:eastAsia="en-GB"/>
              </w:rPr>
              <w:tab/>
            </w:r>
            <w:r w:rsidRPr="00244090">
              <w:rPr>
                <w:rStyle w:val="Hyperlink"/>
                <w:rFonts w:ascii="Calibri" w:hAnsi="Calibri" w:cs="Calibri"/>
                <w:noProof/>
              </w:rPr>
              <w:t>Strengthening the Office of Tax Simplification</w:t>
            </w:r>
            <w:r>
              <w:rPr>
                <w:noProof/>
                <w:webHidden/>
              </w:rPr>
              <w:tab/>
            </w:r>
            <w:r>
              <w:rPr>
                <w:noProof/>
                <w:webHidden/>
              </w:rPr>
              <w:fldChar w:fldCharType="begin"/>
            </w:r>
            <w:r>
              <w:rPr>
                <w:noProof/>
                <w:webHidden/>
              </w:rPr>
              <w:instrText xml:space="preserve"> PAGEREF _Toc19093858 \h </w:instrText>
            </w:r>
            <w:r>
              <w:rPr>
                <w:noProof/>
                <w:webHidden/>
              </w:rPr>
            </w:r>
            <w:r>
              <w:rPr>
                <w:noProof/>
                <w:webHidden/>
              </w:rPr>
              <w:fldChar w:fldCharType="separate"/>
            </w:r>
            <w:r>
              <w:rPr>
                <w:noProof/>
                <w:webHidden/>
              </w:rPr>
              <w:t>20</w:t>
            </w:r>
            <w:r>
              <w:rPr>
                <w:noProof/>
                <w:webHidden/>
              </w:rPr>
              <w:fldChar w:fldCharType="end"/>
            </w:r>
          </w:hyperlink>
        </w:p>
        <w:p w14:paraId="53C6187C" w14:textId="77777777" w:rsidR="00CD5B08" w:rsidRDefault="00CD5B08">
          <w:pPr>
            <w:pStyle w:val="TOC2"/>
            <w:rPr>
              <w:rFonts w:eastAsiaTheme="minorEastAsia"/>
              <w:noProof/>
              <w:lang w:eastAsia="en-GB"/>
            </w:rPr>
          </w:pPr>
          <w:hyperlink w:anchor="_Toc19093859" w:history="1">
            <w:r w:rsidRPr="00244090">
              <w:rPr>
                <w:rStyle w:val="Hyperlink"/>
                <w:rFonts w:ascii="Calibri" w:hAnsi="Calibri" w:cs="Calibri"/>
                <w:noProof/>
              </w:rPr>
              <w:t>B.</w:t>
            </w:r>
            <w:r>
              <w:rPr>
                <w:rFonts w:eastAsiaTheme="minorEastAsia"/>
                <w:noProof/>
                <w:lang w:eastAsia="en-GB"/>
              </w:rPr>
              <w:tab/>
            </w:r>
            <w:r w:rsidRPr="00244090">
              <w:rPr>
                <w:rStyle w:val="Hyperlink"/>
                <w:rFonts w:ascii="Calibri" w:hAnsi="Calibri" w:cs="Calibri"/>
                <w:noProof/>
              </w:rPr>
              <w:t>Introducing a Tax Gateway for small and mid-size quoted companies</w:t>
            </w:r>
            <w:r>
              <w:rPr>
                <w:noProof/>
                <w:webHidden/>
              </w:rPr>
              <w:tab/>
            </w:r>
            <w:r>
              <w:rPr>
                <w:noProof/>
                <w:webHidden/>
              </w:rPr>
              <w:fldChar w:fldCharType="begin"/>
            </w:r>
            <w:r>
              <w:rPr>
                <w:noProof/>
                <w:webHidden/>
              </w:rPr>
              <w:instrText xml:space="preserve"> PAGEREF _Toc19093859 \h </w:instrText>
            </w:r>
            <w:r>
              <w:rPr>
                <w:noProof/>
                <w:webHidden/>
              </w:rPr>
            </w:r>
            <w:r>
              <w:rPr>
                <w:noProof/>
                <w:webHidden/>
              </w:rPr>
              <w:fldChar w:fldCharType="separate"/>
            </w:r>
            <w:r>
              <w:rPr>
                <w:noProof/>
                <w:webHidden/>
              </w:rPr>
              <w:t>21</w:t>
            </w:r>
            <w:r>
              <w:rPr>
                <w:noProof/>
                <w:webHidden/>
              </w:rPr>
              <w:fldChar w:fldCharType="end"/>
            </w:r>
          </w:hyperlink>
        </w:p>
        <w:p w14:paraId="71A63E43" w14:textId="77777777" w:rsidR="00CD5B08" w:rsidRDefault="00CD5B08">
          <w:pPr>
            <w:pStyle w:val="TOC2"/>
            <w:rPr>
              <w:rFonts w:eastAsiaTheme="minorEastAsia"/>
              <w:noProof/>
              <w:lang w:eastAsia="en-GB"/>
            </w:rPr>
          </w:pPr>
          <w:hyperlink w:anchor="_Toc19093860" w:history="1">
            <w:r w:rsidRPr="00244090">
              <w:rPr>
                <w:rStyle w:val="Hyperlink"/>
                <w:rFonts w:ascii="Calibri" w:hAnsi="Calibri"/>
                <w:noProof/>
              </w:rPr>
              <w:t>C.</w:t>
            </w:r>
            <w:r>
              <w:rPr>
                <w:rFonts w:eastAsiaTheme="minorEastAsia"/>
                <w:noProof/>
                <w:lang w:eastAsia="en-GB"/>
              </w:rPr>
              <w:tab/>
            </w:r>
            <w:r w:rsidRPr="00244090">
              <w:rPr>
                <w:rStyle w:val="Hyperlink"/>
                <w:rFonts w:ascii="Calibri" w:hAnsi="Calibri"/>
                <w:noProof/>
              </w:rPr>
              <w:t>Allowing agents to register and de-register companies’ share plans</w:t>
            </w:r>
            <w:r>
              <w:rPr>
                <w:noProof/>
                <w:webHidden/>
              </w:rPr>
              <w:tab/>
            </w:r>
            <w:r>
              <w:rPr>
                <w:noProof/>
                <w:webHidden/>
              </w:rPr>
              <w:fldChar w:fldCharType="begin"/>
            </w:r>
            <w:r>
              <w:rPr>
                <w:noProof/>
                <w:webHidden/>
              </w:rPr>
              <w:instrText xml:space="preserve"> PAGEREF _Toc19093860 \h </w:instrText>
            </w:r>
            <w:r>
              <w:rPr>
                <w:noProof/>
                <w:webHidden/>
              </w:rPr>
            </w:r>
            <w:r>
              <w:rPr>
                <w:noProof/>
                <w:webHidden/>
              </w:rPr>
              <w:fldChar w:fldCharType="separate"/>
            </w:r>
            <w:r>
              <w:rPr>
                <w:noProof/>
                <w:webHidden/>
              </w:rPr>
              <w:t>22</w:t>
            </w:r>
            <w:r>
              <w:rPr>
                <w:noProof/>
                <w:webHidden/>
              </w:rPr>
              <w:fldChar w:fldCharType="end"/>
            </w:r>
          </w:hyperlink>
        </w:p>
        <w:p w14:paraId="11AF7BCA" w14:textId="77777777" w:rsidR="00CD5B08" w:rsidRDefault="00CD5B08">
          <w:pPr>
            <w:pStyle w:val="TOC2"/>
            <w:rPr>
              <w:rFonts w:eastAsiaTheme="minorEastAsia"/>
              <w:noProof/>
              <w:lang w:eastAsia="en-GB"/>
            </w:rPr>
          </w:pPr>
          <w:hyperlink w:anchor="_Toc19093861" w:history="1">
            <w:r w:rsidRPr="00244090">
              <w:rPr>
                <w:rStyle w:val="Hyperlink"/>
                <w:rFonts w:ascii="Calibri" w:hAnsi="Calibri"/>
                <w:noProof/>
              </w:rPr>
              <w:t>D.</w:t>
            </w:r>
            <w:r>
              <w:rPr>
                <w:rFonts w:eastAsiaTheme="minorEastAsia"/>
                <w:noProof/>
                <w:lang w:eastAsia="en-GB"/>
              </w:rPr>
              <w:tab/>
            </w:r>
            <w:r w:rsidRPr="00244090">
              <w:rPr>
                <w:rStyle w:val="Hyperlink"/>
                <w:rFonts w:ascii="Calibri" w:hAnsi="Calibri"/>
                <w:noProof/>
              </w:rPr>
              <w:t>Removing the requirement to obtain HMRC approval of the form of joint NIC elections used for employee share schemes</w:t>
            </w:r>
            <w:r>
              <w:rPr>
                <w:noProof/>
                <w:webHidden/>
              </w:rPr>
              <w:tab/>
            </w:r>
            <w:r>
              <w:rPr>
                <w:noProof/>
                <w:webHidden/>
              </w:rPr>
              <w:fldChar w:fldCharType="begin"/>
            </w:r>
            <w:r>
              <w:rPr>
                <w:noProof/>
                <w:webHidden/>
              </w:rPr>
              <w:instrText xml:space="preserve"> PAGEREF _Toc19093861 \h </w:instrText>
            </w:r>
            <w:r>
              <w:rPr>
                <w:noProof/>
                <w:webHidden/>
              </w:rPr>
            </w:r>
            <w:r>
              <w:rPr>
                <w:noProof/>
                <w:webHidden/>
              </w:rPr>
              <w:fldChar w:fldCharType="separate"/>
            </w:r>
            <w:r>
              <w:rPr>
                <w:noProof/>
                <w:webHidden/>
              </w:rPr>
              <w:t>23</w:t>
            </w:r>
            <w:r>
              <w:rPr>
                <w:noProof/>
                <w:webHidden/>
              </w:rPr>
              <w:fldChar w:fldCharType="end"/>
            </w:r>
          </w:hyperlink>
        </w:p>
        <w:p w14:paraId="142CBA25" w14:textId="77777777" w:rsidR="00CD5B08" w:rsidRDefault="00CD5B08">
          <w:pPr>
            <w:pStyle w:val="TOC2"/>
            <w:rPr>
              <w:rFonts w:eastAsiaTheme="minorEastAsia"/>
              <w:noProof/>
              <w:lang w:eastAsia="en-GB"/>
            </w:rPr>
          </w:pPr>
          <w:hyperlink w:anchor="_Toc19093862" w:history="1">
            <w:r w:rsidRPr="00244090">
              <w:rPr>
                <w:rStyle w:val="Hyperlink"/>
                <w:rFonts w:ascii="Calibri" w:hAnsi="Calibri"/>
                <w:noProof/>
              </w:rPr>
              <w:t>E.</w:t>
            </w:r>
            <w:r>
              <w:rPr>
                <w:rFonts w:eastAsiaTheme="minorEastAsia"/>
                <w:noProof/>
                <w:lang w:eastAsia="en-GB"/>
              </w:rPr>
              <w:tab/>
            </w:r>
            <w:r w:rsidRPr="00244090">
              <w:rPr>
                <w:rStyle w:val="Hyperlink"/>
                <w:rFonts w:ascii="Calibri" w:hAnsi="Calibri"/>
                <w:noProof/>
              </w:rPr>
              <w:t>Simplifying the withholding tax regime</w:t>
            </w:r>
            <w:r>
              <w:rPr>
                <w:noProof/>
                <w:webHidden/>
              </w:rPr>
              <w:tab/>
            </w:r>
            <w:r>
              <w:rPr>
                <w:noProof/>
                <w:webHidden/>
              </w:rPr>
              <w:fldChar w:fldCharType="begin"/>
            </w:r>
            <w:r>
              <w:rPr>
                <w:noProof/>
                <w:webHidden/>
              </w:rPr>
              <w:instrText xml:space="preserve"> PAGEREF _Toc19093862 \h </w:instrText>
            </w:r>
            <w:r>
              <w:rPr>
                <w:noProof/>
                <w:webHidden/>
              </w:rPr>
            </w:r>
            <w:r>
              <w:rPr>
                <w:noProof/>
                <w:webHidden/>
              </w:rPr>
              <w:fldChar w:fldCharType="separate"/>
            </w:r>
            <w:r>
              <w:rPr>
                <w:noProof/>
                <w:webHidden/>
              </w:rPr>
              <w:t>23</w:t>
            </w:r>
            <w:r>
              <w:rPr>
                <w:noProof/>
                <w:webHidden/>
              </w:rPr>
              <w:fldChar w:fldCharType="end"/>
            </w:r>
          </w:hyperlink>
        </w:p>
        <w:p w14:paraId="12EDD50B" w14:textId="77777777" w:rsidR="00CD5B08" w:rsidRDefault="00CD5B08">
          <w:pPr>
            <w:pStyle w:val="TOC1"/>
            <w:rPr>
              <w:rFonts w:asciiTheme="minorHAnsi" w:eastAsiaTheme="minorEastAsia" w:hAnsiTheme="minorHAnsi"/>
              <w:b w:val="0"/>
              <w:sz w:val="22"/>
              <w:lang w:eastAsia="en-GB"/>
            </w:rPr>
          </w:pPr>
          <w:hyperlink w:anchor="_Toc19093863" w:history="1">
            <w:r w:rsidRPr="00244090">
              <w:rPr>
                <w:rStyle w:val="Hyperlink"/>
              </w:rPr>
              <w:t>III.</w:t>
            </w:r>
            <w:r>
              <w:rPr>
                <w:rFonts w:asciiTheme="minorHAnsi" w:eastAsiaTheme="minorEastAsia" w:hAnsiTheme="minorHAnsi"/>
                <w:b w:val="0"/>
                <w:sz w:val="22"/>
                <w:lang w:eastAsia="en-GB"/>
              </w:rPr>
              <w:tab/>
            </w:r>
            <w:r w:rsidRPr="00244090">
              <w:rPr>
                <w:rStyle w:val="Hyperlink"/>
              </w:rPr>
              <w:t>Building certainty into the tax system</w:t>
            </w:r>
            <w:r>
              <w:rPr>
                <w:webHidden/>
              </w:rPr>
              <w:tab/>
            </w:r>
            <w:r>
              <w:rPr>
                <w:webHidden/>
              </w:rPr>
              <w:fldChar w:fldCharType="begin"/>
            </w:r>
            <w:r>
              <w:rPr>
                <w:webHidden/>
              </w:rPr>
              <w:instrText xml:space="preserve"> PAGEREF _Toc19093863 \h </w:instrText>
            </w:r>
            <w:r>
              <w:rPr>
                <w:webHidden/>
              </w:rPr>
            </w:r>
            <w:r>
              <w:rPr>
                <w:webHidden/>
              </w:rPr>
              <w:fldChar w:fldCharType="separate"/>
            </w:r>
            <w:r>
              <w:rPr>
                <w:webHidden/>
              </w:rPr>
              <w:t>25</w:t>
            </w:r>
            <w:r>
              <w:rPr>
                <w:webHidden/>
              </w:rPr>
              <w:fldChar w:fldCharType="end"/>
            </w:r>
          </w:hyperlink>
        </w:p>
        <w:p w14:paraId="4912B1EE" w14:textId="77777777" w:rsidR="00CD5B08" w:rsidRDefault="00CD5B08">
          <w:pPr>
            <w:pStyle w:val="TOC2"/>
            <w:rPr>
              <w:rFonts w:eastAsiaTheme="minorEastAsia"/>
              <w:noProof/>
              <w:lang w:eastAsia="en-GB"/>
            </w:rPr>
          </w:pPr>
          <w:hyperlink w:anchor="_Toc19093864" w:history="1">
            <w:r w:rsidRPr="00244090">
              <w:rPr>
                <w:rStyle w:val="Hyperlink"/>
                <w:rFonts w:ascii="Calibri" w:hAnsi="Calibri"/>
                <w:noProof/>
              </w:rPr>
              <w:t>A.</w:t>
            </w:r>
            <w:r>
              <w:rPr>
                <w:rFonts w:eastAsiaTheme="minorEastAsia"/>
                <w:noProof/>
                <w:lang w:eastAsia="en-GB"/>
              </w:rPr>
              <w:tab/>
            </w:r>
            <w:r w:rsidRPr="00244090">
              <w:rPr>
                <w:rStyle w:val="Hyperlink"/>
                <w:rFonts w:ascii="Calibri" w:hAnsi="Calibri"/>
                <w:noProof/>
              </w:rPr>
              <w:t>Establishing a binding ruling service</w:t>
            </w:r>
            <w:r>
              <w:rPr>
                <w:noProof/>
                <w:webHidden/>
              </w:rPr>
              <w:tab/>
            </w:r>
            <w:r>
              <w:rPr>
                <w:noProof/>
                <w:webHidden/>
              </w:rPr>
              <w:fldChar w:fldCharType="begin"/>
            </w:r>
            <w:r>
              <w:rPr>
                <w:noProof/>
                <w:webHidden/>
              </w:rPr>
              <w:instrText xml:space="preserve"> PAGEREF _Toc19093864 \h </w:instrText>
            </w:r>
            <w:r>
              <w:rPr>
                <w:noProof/>
                <w:webHidden/>
              </w:rPr>
            </w:r>
            <w:r>
              <w:rPr>
                <w:noProof/>
                <w:webHidden/>
              </w:rPr>
              <w:fldChar w:fldCharType="separate"/>
            </w:r>
            <w:r>
              <w:rPr>
                <w:noProof/>
                <w:webHidden/>
              </w:rPr>
              <w:t>25</w:t>
            </w:r>
            <w:r>
              <w:rPr>
                <w:noProof/>
                <w:webHidden/>
              </w:rPr>
              <w:fldChar w:fldCharType="end"/>
            </w:r>
          </w:hyperlink>
        </w:p>
        <w:p w14:paraId="6D40D45F" w14:textId="77777777" w:rsidR="00CD5B08" w:rsidRDefault="00CD5B08">
          <w:pPr>
            <w:pStyle w:val="TOC2"/>
            <w:rPr>
              <w:rFonts w:eastAsiaTheme="minorEastAsia"/>
              <w:noProof/>
              <w:lang w:eastAsia="en-GB"/>
            </w:rPr>
          </w:pPr>
          <w:hyperlink w:anchor="_Toc19093865" w:history="1">
            <w:r w:rsidRPr="00244090">
              <w:rPr>
                <w:rStyle w:val="Hyperlink"/>
                <w:rFonts w:ascii="Calibri" w:hAnsi="Calibri"/>
                <w:noProof/>
              </w:rPr>
              <w:t>B.</w:t>
            </w:r>
            <w:r>
              <w:rPr>
                <w:rFonts w:eastAsiaTheme="minorEastAsia"/>
                <w:noProof/>
                <w:lang w:eastAsia="en-GB"/>
              </w:rPr>
              <w:tab/>
            </w:r>
            <w:r w:rsidRPr="00244090">
              <w:rPr>
                <w:rStyle w:val="Hyperlink"/>
                <w:rFonts w:ascii="Calibri" w:hAnsi="Calibri"/>
                <w:noProof/>
              </w:rPr>
              <w:t>Clarifying the position of medium-sized entities with respect to transfer pricing</w:t>
            </w:r>
            <w:r>
              <w:rPr>
                <w:noProof/>
                <w:webHidden/>
              </w:rPr>
              <w:tab/>
            </w:r>
            <w:r>
              <w:rPr>
                <w:noProof/>
                <w:webHidden/>
              </w:rPr>
              <w:fldChar w:fldCharType="begin"/>
            </w:r>
            <w:r>
              <w:rPr>
                <w:noProof/>
                <w:webHidden/>
              </w:rPr>
              <w:instrText xml:space="preserve"> PAGEREF _Toc19093865 \h </w:instrText>
            </w:r>
            <w:r>
              <w:rPr>
                <w:noProof/>
                <w:webHidden/>
              </w:rPr>
            </w:r>
            <w:r>
              <w:rPr>
                <w:noProof/>
                <w:webHidden/>
              </w:rPr>
              <w:fldChar w:fldCharType="separate"/>
            </w:r>
            <w:r>
              <w:rPr>
                <w:noProof/>
                <w:webHidden/>
              </w:rPr>
              <w:t>25</w:t>
            </w:r>
            <w:r>
              <w:rPr>
                <w:noProof/>
                <w:webHidden/>
              </w:rPr>
              <w:fldChar w:fldCharType="end"/>
            </w:r>
          </w:hyperlink>
        </w:p>
        <w:p w14:paraId="6B202357" w14:textId="77777777" w:rsidR="00CD5B08" w:rsidRDefault="00CD5B08">
          <w:pPr>
            <w:pStyle w:val="TOC1"/>
            <w:rPr>
              <w:rFonts w:asciiTheme="minorHAnsi" w:eastAsiaTheme="minorEastAsia" w:hAnsiTheme="minorHAnsi"/>
              <w:b w:val="0"/>
              <w:sz w:val="22"/>
              <w:lang w:eastAsia="en-GB"/>
            </w:rPr>
          </w:pPr>
          <w:hyperlink w:anchor="_Toc19093866" w:history="1">
            <w:r w:rsidRPr="00244090">
              <w:rPr>
                <w:rStyle w:val="Hyperlink"/>
              </w:rPr>
              <w:t>Appendix A: European regimes for tax relief for the costs of raising equity</w:t>
            </w:r>
            <w:r>
              <w:rPr>
                <w:webHidden/>
              </w:rPr>
              <w:tab/>
            </w:r>
            <w:r>
              <w:rPr>
                <w:webHidden/>
              </w:rPr>
              <w:fldChar w:fldCharType="begin"/>
            </w:r>
            <w:r>
              <w:rPr>
                <w:webHidden/>
              </w:rPr>
              <w:instrText xml:space="preserve"> PAGEREF _Toc19093866 \h </w:instrText>
            </w:r>
            <w:r>
              <w:rPr>
                <w:webHidden/>
              </w:rPr>
            </w:r>
            <w:r>
              <w:rPr>
                <w:webHidden/>
              </w:rPr>
              <w:fldChar w:fldCharType="separate"/>
            </w:r>
            <w:r>
              <w:rPr>
                <w:webHidden/>
              </w:rPr>
              <w:t>27</w:t>
            </w:r>
            <w:r>
              <w:rPr>
                <w:webHidden/>
              </w:rPr>
              <w:fldChar w:fldCharType="end"/>
            </w:r>
          </w:hyperlink>
        </w:p>
        <w:p w14:paraId="4AF8B0EC" w14:textId="77777777" w:rsidR="00CD5B08" w:rsidRDefault="00CD5B08">
          <w:pPr>
            <w:pStyle w:val="TOC1"/>
            <w:rPr>
              <w:rFonts w:asciiTheme="minorHAnsi" w:eastAsiaTheme="minorEastAsia" w:hAnsiTheme="minorHAnsi"/>
              <w:b w:val="0"/>
              <w:sz w:val="22"/>
              <w:lang w:eastAsia="en-GB"/>
            </w:rPr>
          </w:pPr>
          <w:hyperlink w:anchor="_Toc19093867" w:history="1">
            <w:r w:rsidRPr="00244090">
              <w:rPr>
                <w:rStyle w:val="Hyperlink"/>
              </w:rPr>
              <w:t>Appendix B: Data used to calculate allowing the costs of raising equity to be tax deductible</w:t>
            </w:r>
            <w:r>
              <w:rPr>
                <w:webHidden/>
              </w:rPr>
              <w:tab/>
            </w:r>
            <w:r>
              <w:rPr>
                <w:webHidden/>
              </w:rPr>
              <w:fldChar w:fldCharType="begin"/>
            </w:r>
            <w:r>
              <w:rPr>
                <w:webHidden/>
              </w:rPr>
              <w:instrText xml:space="preserve"> PAGEREF _Toc19093867 \h </w:instrText>
            </w:r>
            <w:r>
              <w:rPr>
                <w:webHidden/>
              </w:rPr>
            </w:r>
            <w:r>
              <w:rPr>
                <w:webHidden/>
              </w:rPr>
              <w:fldChar w:fldCharType="separate"/>
            </w:r>
            <w:r>
              <w:rPr>
                <w:webHidden/>
              </w:rPr>
              <w:t>34</w:t>
            </w:r>
            <w:r>
              <w:rPr>
                <w:webHidden/>
              </w:rPr>
              <w:fldChar w:fldCharType="end"/>
            </w:r>
          </w:hyperlink>
        </w:p>
        <w:p w14:paraId="41A8325D" w14:textId="77777777" w:rsidR="00CD5B08" w:rsidRDefault="00CD5B08">
          <w:pPr>
            <w:pStyle w:val="TOC1"/>
            <w:rPr>
              <w:rFonts w:asciiTheme="minorHAnsi" w:eastAsiaTheme="minorEastAsia" w:hAnsiTheme="minorHAnsi"/>
              <w:b w:val="0"/>
              <w:sz w:val="22"/>
              <w:lang w:eastAsia="en-GB"/>
            </w:rPr>
          </w:pPr>
          <w:hyperlink w:anchor="_Toc19093868" w:history="1">
            <w:r w:rsidRPr="00244090">
              <w:rPr>
                <w:rStyle w:val="Hyperlink"/>
              </w:rPr>
              <w:t>Appendix C: The practical difficulties with the 5% Requirement</w:t>
            </w:r>
            <w:r>
              <w:rPr>
                <w:webHidden/>
              </w:rPr>
              <w:tab/>
            </w:r>
            <w:r>
              <w:rPr>
                <w:webHidden/>
              </w:rPr>
              <w:fldChar w:fldCharType="begin"/>
            </w:r>
            <w:r>
              <w:rPr>
                <w:webHidden/>
              </w:rPr>
              <w:instrText xml:space="preserve"> PAGEREF _Toc19093868 \h </w:instrText>
            </w:r>
            <w:r>
              <w:rPr>
                <w:webHidden/>
              </w:rPr>
            </w:r>
            <w:r>
              <w:rPr>
                <w:webHidden/>
              </w:rPr>
              <w:fldChar w:fldCharType="separate"/>
            </w:r>
            <w:r>
              <w:rPr>
                <w:webHidden/>
              </w:rPr>
              <w:t>35</w:t>
            </w:r>
            <w:r>
              <w:rPr>
                <w:webHidden/>
              </w:rPr>
              <w:fldChar w:fldCharType="end"/>
            </w:r>
          </w:hyperlink>
        </w:p>
        <w:p w14:paraId="6CA0F173" w14:textId="77777777" w:rsidR="00CD5B08" w:rsidRDefault="00CD5B08">
          <w:pPr>
            <w:pStyle w:val="TOC1"/>
            <w:rPr>
              <w:rFonts w:asciiTheme="minorHAnsi" w:eastAsiaTheme="minorEastAsia" w:hAnsiTheme="minorHAnsi"/>
              <w:b w:val="0"/>
              <w:sz w:val="22"/>
              <w:lang w:eastAsia="en-GB"/>
            </w:rPr>
          </w:pPr>
          <w:hyperlink w:anchor="_Toc19093869" w:history="1">
            <w:r w:rsidRPr="00244090">
              <w:rPr>
                <w:rStyle w:val="Hyperlink"/>
              </w:rPr>
              <w:t>Appendix D: Difficulties encountered when making ERS returns for 2017/18</w:t>
            </w:r>
            <w:r>
              <w:rPr>
                <w:webHidden/>
              </w:rPr>
              <w:tab/>
            </w:r>
            <w:r>
              <w:rPr>
                <w:webHidden/>
              </w:rPr>
              <w:fldChar w:fldCharType="begin"/>
            </w:r>
            <w:r>
              <w:rPr>
                <w:webHidden/>
              </w:rPr>
              <w:instrText xml:space="preserve"> PAGEREF _Toc19093869 \h </w:instrText>
            </w:r>
            <w:r>
              <w:rPr>
                <w:webHidden/>
              </w:rPr>
            </w:r>
            <w:r>
              <w:rPr>
                <w:webHidden/>
              </w:rPr>
              <w:fldChar w:fldCharType="separate"/>
            </w:r>
            <w:r>
              <w:rPr>
                <w:webHidden/>
              </w:rPr>
              <w:t>38</w:t>
            </w:r>
            <w:r>
              <w:rPr>
                <w:webHidden/>
              </w:rPr>
              <w:fldChar w:fldCharType="end"/>
            </w:r>
          </w:hyperlink>
        </w:p>
        <w:p w14:paraId="755BB68B" w14:textId="77777777" w:rsidR="00CD5B08" w:rsidRDefault="00CD5B08">
          <w:pPr>
            <w:pStyle w:val="TOC1"/>
            <w:rPr>
              <w:rFonts w:asciiTheme="minorHAnsi" w:eastAsiaTheme="minorEastAsia" w:hAnsiTheme="minorHAnsi"/>
              <w:b w:val="0"/>
              <w:sz w:val="22"/>
              <w:lang w:eastAsia="en-GB"/>
            </w:rPr>
          </w:pPr>
          <w:hyperlink w:anchor="_Toc19093870" w:history="1">
            <w:r w:rsidRPr="00244090">
              <w:rPr>
                <w:rStyle w:val="Hyperlink"/>
              </w:rPr>
              <w:t>Appendix E: The difficulties faced by small and mid-size quoted companies applying transfer pricing rules</w:t>
            </w:r>
            <w:r>
              <w:rPr>
                <w:webHidden/>
              </w:rPr>
              <w:tab/>
            </w:r>
            <w:r>
              <w:rPr>
                <w:webHidden/>
              </w:rPr>
              <w:fldChar w:fldCharType="begin"/>
            </w:r>
            <w:r>
              <w:rPr>
                <w:webHidden/>
              </w:rPr>
              <w:instrText xml:space="preserve"> PAGEREF _Toc19093870 \h </w:instrText>
            </w:r>
            <w:r>
              <w:rPr>
                <w:webHidden/>
              </w:rPr>
            </w:r>
            <w:r>
              <w:rPr>
                <w:webHidden/>
              </w:rPr>
              <w:fldChar w:fldCharType="separate"/>
            </w:r>
            <w:r>
              <w:rPr>
                <w:webHidden/>
              </w:rPr>
              <w:t>39</w:t>
            </w:r>
            <w:r>
              <w:rPr>
                <w:webHidden/>
              </w:rPr>
              <w:fldChar w:fldCharType="end"/>
            </w:r>
          </w:hyperlink>
        </w:p>
        <w:p w14:paraId="5A76F6BE" w14:textId="77777777" w:rsidR="00CD5B08" w:rsidRDefault="00CD5B08">
          <w:pPr>
            <w:pStyle w:val="TOC1"/>
            <w:rPr>
              <w:rFonts w:asciiTheme="minorHAnsi" w:eastAsiaTheme="minorEastAsia" w:hAnsiTheme="minorHAnsi"/>
              <w:b w:val="0"/>
              <w:sz w:val="22"/>
              <w:lang w:eastAsia="en-GB"/>
            </w:rPr>
          </w:pPr>
          <w:hyperlink w:anchor="_Toc19093871" w:history="1">
            <w:r w:rsidRPr="00244090">
              <w:rPr>
                <w:rStyle w:val="Hyperlink"/>
              </w:rPr>
              <w:t>Appendix F: Expert Group members</w:t>
            </w:r>
            <w:r>
              <w:rPr>
                <w:webHidden/>
              </w:rPr>
              <w:tab/>
            </w:r>
            <w:r>
              <w:rPr>
                <w:webHidden/>
              </w:rPr>
              <w:fldChar w:fldCharType="begin"/>
            </w:r>
            <w:r>
              <w:rPr>
                <w:webHidden/>
              </w:rPr>
              <w:instrText xml:space="preserve"> PAGEREF _Toc19093871 \h </w:instrText>
            </w:r>
            <w:r>
              <w:rPr>
                <w:webHidden/>
              </w:rPr>
            </w:r>
            <w:r>
              <w:rPr>
                <w:webHidden/>
              </w:rPr>
              <w:fldChar w:fldCharType="separate"/>
            </w:r>
            <w:r>
              <w:rPr>
                <w:webHidden/>
              </w:rPr>
              <w:t>40</w:t>
            </w:r>
            <w:r>
              <w:rPr>
                <w:webHidden/>
              </w:rPr>
              <w:fldChar w:fldCharType="end"/>
            </w:r>
          </w:hyperlink>
        </w:p>
        <w:p w14:paraId="542826CC" w14:textId="77777777" w:rsidR="00F72A74" w:rsidRPr="00071DA1" w:rsidRDefault="001C34CC" w:rsidP="00947213">
          <w:pPr>
            <w:spacing w:after="100"/>
            <w:jc w:val="both"/>
            <w:rPr>
              <w:rFonts w:ascii="Calibri" w:hAnsi="Calibri"/>
              <w:b/>
              <w:bCs/>
              <w:noProof/>
            </w:rPr>
            <w:sectPr w:rsidR="00F72A74" w:rsidRPr="00071DA1" w:rsidSect="00C00346">
              <w:pgSz w:w="11906" w:h="16838"/>
              <w:pgMar w:top="1134" w:right="1134" w:bottom="1134" w:left="1134" w:header="708" w:footer="708" w:gutter="0"/>
              <w:cols w:space="708"/>
              <w:docGrid w:linePitch="360"/>
            </w:sectPr>
          </w:pPr>
          <w:r w:rsidRPr="001C34CC">
            <w:rPr>
              <w:rFonts w:ascii="Calibri" w:hAnsi="Calibri"/>
              <w:b/>
              <w:bCs/>
              <w:noProof/>
            </w:rPr>
            <w:fldChar w:fldCharType="end"/>
          </w:r>
        </w:p>
      </w:sdtContent>
    </w:sdt>
    <w:p w14:paraId="23655261" w14:textId="77777777" w:rsidR="00630A39" w:rsidRDefault="00F72A74" w:rsidP="001C34CC">
      <w:pPr>
        <w:pStyle w:val="Heading1"/>
        <w:spacing w:before="0" w:after="200"/>
        <w:jc w:val="both"/>
        <w:rPr>
          <w:rFonts w:ascii="Calibri" w:hAnsi="Calibri"/>
          <w:color w:val="auto"/>
          <w:sz w:val="24"/>
        </w:rPr>
      </w:pPr>
      <w:bookmarkStart w:id="1" w:name="_Toc19093849"/>
      <w:r>
        <w:rPr>
          <w:rFonts w:ascii="Calibri" w:hAnsi="Calibri"/>
          <w:color w:val="auto"/>
          <w:sz w:val="24"/>
        </w:rPr>
        <w:lastRenderedPageBreak/>
        <w:t>An introduction to the Quoted Companies Alliance</w:t>
      </w:r>
      <w:bookmarkEnd w:id="1"/>
    </w:p>
    <w:p w14:paraId="011606CB" w14:textId="2B52B3E1" w:rsidR="00F54CA4" w:rsidRPr="001C34CC" w:rsidRDefault="00F54CA4" w:rsidP="001C34CC">
      <w:pPr>
        <w:jc w:val="both"/>
        <w:rPr>
          <w:rFonts w:ascii="Calibri" w:hAnsi="Calibri"/>
        </w:rPr>
      </w:pPr>
      <w:r w:rsidRPr="001C34CC">
        <w:rPr>
          <w:rFonts w:ascii="Calibri" w:hAnsi="Calibri"/>
        </w:rPr>
        <w:t xml:space="preserve">We are the independent membership organisation that champions the interests of small </w:t>
      </w:r>
      <w:r w:rsidR="00CF49D8">
        <w:rPr>
          <w:rFonts w:ascii="Calibri" w:hAnsi="Calibri"/>
        </w:rPr>
        <w:t>to</w:t>
      </w:r>
      <w:r w:rsidR="00CF49D8" w:rsidRPr="001C34CC">
        <w:rPr>
          <w:rFonts w:ascii="Calibri" w:hAnsi="Calibri"/>
        </w:rPr>
        <w:t xml:space="preserve"> </w:t>
      </w:r>
      <w:r w:rsidRPr="001C34CC">
        <w:rPr>
          <w:rFonts w:ascii="Calibri" w:hAnsi="Calibri"/>
        </w:rPr>
        <w:t xml:space="preserve">mid-size quoted companies. </w:t>
      </w:r>
    </w:p>
    <w:p w14:paraId="525DF2A1" w14:textId="18825CDE" w:rsidR="00CF49D8" w:rsidRPr="00AB459A" w:rsidRDefault="0033139E" w:rsidP="001C34CC">
      <w:pPr>
        <w:jc w:val="both"/>
        <w:rPr>
          <w:rFonts w:ascii="Calibri" w:hAnsi="Calibri"/>
          <w:color w:val="FF0000"/>
        </w:rPr>
      </w:pPr>
      <w:r w:rsidRPr="00AB459A">
        <w:rPr>
          <w:rFonts w:ascii="Calibri" w:hAnsi="Calibri"/>
          <w:color w:val="FF0000"/>
        </w:rPr>
        <w:t xml:space="preserve">The contribution of those we represent to the UK economy is substantial. </w:t>
      </w:r>
      <w:r w:rsidR="00CF49D8" w:rsidRPr="00AB459A">
        <w:rPr>
          <w:rFonts w:ascii="Calibri" w:hAnsi="Calibri"/>
          <w:color w:val="FF0000"/>
        </w:rPr>
        <w:t xml:space="preserve">There are </w:t>
      </w:r>
      <w:r w:rsidR="0028190B" w:rsidRPr="00AB459A">
        <w:rPr>
          <w:rFonts w:ascii="Calibri" w:hAnsi="Calibri"/>
          <w:color w:val="FF0000"/>
        </w:rPr>
        <w:t>around</w:t>
      </w:r>
      <w:r w:rsidR="00CF49D8" w:rsidRPr="00AB459A">
        <w:rPr>
          <w:rFonts w:ascii="Calibri" w:hAnsi="Calibri"/>
          <w:color w:val="FF0000"/>
        </w:rPr>
        <w:t xml:space="preserve"> 1,250 small and mid-size quoted companies on the Main List of the London Stock Exchange and quoted on AIM and </w:t>
      </w:r>
      <w:r w:rsidR="00FB5262" w:rsidRPr="00AB459A">
        <w:rPr>
          <w:rFonts w:ascii="Calibri" w:hAnsi="Calibri"/>
          <w:color w:val="FF0000"/>
        </w:rPr>
        <w:t xml:space="preserve">the </w:t>
      </w:r>
      <w:r w:rsidR="00CF49D8" w:rsidRPr="00AB459A">
        <w:rPr>
          <w:rFonts w:ascii="Calibri" w:hAnsi="Calibri"/>
          <w:color w:val="FF0000"/>
        </w:rPr>
        <w:t xml:space="preserve">NEX Exchange, </w:t>
      </w:r>
      <w:r w:rsidR="004A6CCC" w:rsidRPr="00AB459A">
        <w:rPr>
          <w:rFonts w:ascii="Calibri" w:hAnsi="Calibri"/>
          <w:color w:val="FF0000"/>
        </w:rPr>
        <w:t>totalling</w:t>
      </w:r>
      <w:r w:rsidR="00CF49D8" w:rsidRPr="00AB459A">
        <w:rPr>
          <w:rFonts w:ascii="Calibri" w:hAnsi="Calibri"/>
          <w:color w:val="FF0000"/>
        </w:rPr>
        <w:t xml:space="preserve"> 93% of all UK quoted companies</w:t>
      </w:r>
      <w:r w:rsidR="00CF49D8" w:rsidRPr="00AB459A">
        <w:rPr>
          <w:rStyle w:val="FootnoteReference"/>
          <w:rFonts w:ascii="Calibri" w:hAnsi="Calibri"/>
          <w:color w:val="FF0000"/>
        </w:rPr>
        <w:footnoteReference w:id="1"/>
      </w:r>
      <w:r w:rsidR="00CF49D8" w:rsidRPr="00AB459A">
        <w:rPr>
          <w:rFonts w:ascii="Calibri" w:hAnsi="Calibri"/>
          <w:color w:val="FF0000"/>
        </w:rPr>
        <w:t>.</w:t>
      </w:r>
      <w:r w:rsidR="00AA7207" w:rsidRPr="00AB459A">
        <w:rPr>
          <w:rFonts w:ascii="Calibri" w:hAnsi="Calibri"/>
          <w:color w:val="FF0000"/>
        </w:rPr>
        <w:t xml:space="preserve"> </w:t>
      </w:r>
      <w:r w:rsidR="00F16FA9" w:rsidRPr="00AB459A">
        <w:rPr>
          <w:rFonts w:ascii="Calibri" w:hAnsi="Calibri"/>
          <w:color w:val="FF0000"/>
        </w:rPr>
        <w:t>Collectively</w:t>
      </w:r>
      <w:r w:rsidR="0028190B" w:rsidRPr="00AB459A">
        <w:rPr>
          <w:rFonts w:ascii="Calibri" w:hAnsi="Calibri"/>
          <w:color w:val="FF0000"/>
        </w:rPr>
        <w:t>, these companies employ approximately 3 million people, representing 11% of private sector employment in the UK, and contribute over £26</w:t>
      </w:r>
      <w:r w:rsidR="008D4529" w:rsidRPr="00AB459A">
        <w:rPr>
          <w:rFonts w:ascii="Calibri" w:hAnsi="Calibri"/>
          <w:color w:val="FF0000"/>
        </w:rPr>
        <w:t>.5</w:t>
      </w:r>
      <w:r w:rsidR="0028190B" w:rsidRPr="00AB459A">
        <w:rPr>
          <w:rFonts w:ascii="Calibri" w:hAnsi="Calibri"/>
          <w:color w:val="FF0000"/>
        </w:rPr>
        <w:t xml:space="preserve"> billion annually in taxes</w:t>
      </w:r>
      <w:r w:rsidR="00402794" w:rsidRPr="00AB459A">
        <w:rPr>
          <w:rFonts w:ascii="Calibri" w:hAnsi="Calibri"/>
          <w:color w:val="FF0000"/>
        </w:rPr>
        <w:t xml:space="preserve"> (considering just Corporation Tax, Income Tax and National Insurance)</w:t>
      </w:r>
      <w:r w:rsidR="0028190B" w:rsidRPr="00AB459A">
        <w:rPr>
          <w:rStyle w:val="FootnoteReference"/>
          <w:rFonts w:ascii="Calibri" w:hAnsi="Calibri"/>
          <w:color w:val="FF0000"/>
        </w:rPr>
        <w:footnoteReference w:id="2"/>
      </w:r>
      <w:r w:rsidR="0028190B" w:rsidRPr="00AB459A">
        <w:rPr>
          <w:rFonts w:ascii="Calibri" w:hAnsi="Calibri"/>
          <w:color w:val="FF0000"/>
        </w:rPr>
        <w:t xml:space="preserve">. </w:t>
      </w:r>
      <w:r w:rsidR="00F16FA9" w:rsidRPr="00AB459A">
        <w:rPr>
          <w:rFonts w:ascii="Calibri" w:hAnsi="Calibri"/>
          <w:color w:val="FF0000"/>
        </w:rPr>
        <w:t>The total market capitalisation of the small and mid-size quoted company sector in the UK is £428 billion</w:t>
      </w:r>
      <w:r w:rsidR="00F16FA9" w:rsidRPr="00AB459A">
        <w:rPr>
          <w:rStyle w:val="FootnoteReference"/>
          <w:rFonts w:ascii="Calibri" w:hAnsi="Calibri"/>
          <w:color w:val="FF0000"/>
        </w:rPr>
        <w:footnoteReference w:id="3"/>
      </w:r>
      <w:r w:rsidR="00F16FA9" w:rsidRPr="00AB459A">
        <w:rPr>
          <w:rFonts w:ascii="Calibri" w:hAnsi="Calibri"/>
          <w:color w:val="FF0000"/>
        </w:rPr>
        <w:t xml:space="preserve">. </w:t>
      </w:r>
    </w:p>
    <w:p w14:paraId="5EE8D7B9" w14:textId="386C6270" w:rsidR="00CF49D8" w:rsidRPr="00AB459A" w:rsidRDefault="0033139E" w:rsidP="001C34CC">
      <w:pPr>
        <w:jc w:val="both"/>
        <w:rPr>
          <w:rFonts w:ascii="Calibri" w:hAnsi="Calibri"/>
          <w:color w:val="FF0000"/>
        </w:rPr>
      </w:pPr>
      <w:r w:rsidRPr="00AB459A">
        <w:rPr>
          <w:rFonts w:ascii="Calibri" w:hAnsi="Calibri"/>
          <w:color w:val="FF0000"/>
        </w:rPr>
        <w:t xml:space="preserve">Our principal aim is to create a </w:t>
      </w:r>
      <w:r w:rsidR="0004347A" w:rsidRPr="00AB459A">
        <w:rPr>
          <w:rFonts w:ascii="Calibri" w:hAnsi="Calibri"/>
          <w:color w:val="FF0000"/>
        </w:rPr>
        <w:t xml:space="preserve">proportionate regulatory and legislative environment whereby the needs and size constraints of </w:t>
      </w:r>
      <w:r w:rsidR="00520B07" w:rsidRPr="00AB459A">
        <w:rPr>
          <w:rFonts w:ascii="Calibri" w:hAnsi="Calibri"/>
          <w:color w:val="FF0000"/>
        </w:rPr>
        <w:t xml:space="preserve">these </w:t>
      </w:r>
      <w:r w:rsidR="0004347A" w:rsidRPr="00AB459A">
        <w:rPr>
          <w:rFonts w:ascii="Calibri" w:hAnsi="Calibri"/>
          <w:color w:val="FF0000"/>
        </w:rPr>
        <w:t xml:space="preserve">smaller companies are taken into account. </w:t>
      </w:r>
      <w:r w:rsidR="004A6CCC" w:rsidRPr="00AB459A">
        <w:rPr>
          <w:rFonts w:ascii="Calibri" w:hAnsi="Calibri"/>
          <w:color w:val="FF0000"/>
        </w:rPr>
        <w:t>Doing so</w:t>
      </w:r>
      <w:r w:rsidR="0004347A" w:rsidRPr="00AB459A">
        <w:rPr>
          <w:rFonts w:ascii="Calibri" w:hAnsi="Calibri"/>
          <w:color w:val="FF0000"/>
        </w:rPr>
        <w:t xml:space="preserve"> </w:t>
      </w:r>
      <w:r w:rsidR="004A6CCC" w:rsidRPr="00AB459A">
        <w:rPr>
          <w:rFonts w:ascii="Calibri" w:hAnsi="Calibri"/>
          <w:color w:val="FF0000"/>
        </w:rPr>
        <w:t xml:space="preserve">will </w:t>
      </w:r>
      <w:r w:rsidR="007D33A4" w:rsidRPr="00AB459A">
        <w:rPr>
          <w:rFonts w:ascii="Calibri" w:hAnsi="Calibri"/>
          <w:color w:val="FF0000"/>
        </w:rPr>
        <w:t>be a key component in stimulating the growth of these smaller companies, allowing them to fulfil their enormous potential, as well as</w:t>
      </w:r>
      <w:r w:rsidR="004A6CCC" w:rsidRPr="00AB459A">
        <w:rPr>
          <w:rFonts w:ascii="Calibri" w:hAnsi="Calibri"/>
          <w:color w:val="FF0000"/>
        </w:rPr>
        <w:t xml:space="preserve"> the UK economy</w:t>
      </w:r>
      <w:r w:rsidR="00F16FA9" w:rsidRPr="00AB459A">
        <w:rPr>
          <w:rFonts w:ascii="Calibri" w:hAnsi="Calibri"/>
          <w:color w:val="FF0000"/>
        </w:rPr>
        <w:t>’s</w:t>
      </w:r>
      <w:r w:rsidR="004A6CCC" w:rsidRPr="00AB459A">
        <w:rPr>
          <w:rFonts w:ascii="Calibri" w:hAnsi="Calibri"/>
          <w:color w:val="FF0000"/>
        </w:rPr>
        <w:t xml:space="preserve"> as a whole. </w:t>
      </w:r>
    </w:p>
    <w:p w14:paraId="7CC690CB" w14:textId="0B2C3654" w:rsidR="00F0456A" w:rsidRPr="00AB459A" w:rsidRDefault="00F0456A" w:rsidP="001C34CC">
      <w:pPr>
        <w:jc w:val="both"/>
        <w:rPr>
          <w:rFonts w:ascii="Calibri" w:hAnsi="Calibri"/>
          <w:color w:val="FF0000"/>
        </w:rPr>
      </w:pPr>
      <w:r w:rsidRPr="00AB459A">
        <w:rPr>
          <w:rFonts w:ascii="Calibri" w:hAnsi="Calibri"/>
          <w:color w:val="FF0000"/>
        </w:rPr>
        <w:t>We seek to identify the issues that matter to our members. We campaign, we inform and we interact</w:t>
      </w:r>
      <w:r w:rsidR="00F16FA9" w:rsidRPr="00AB459A">
        <w:rPr>
          <w:rFonts w:ascii="Calibri" w:hAnsi="Calibri"/>
          <w:color w:val="FF0000"/>
        </w:rPr>
        <w:t xml:space="preserve"> to ensure that our influence creates impact for our members and that they develop the understanding and connections to keep their businesses ahead. </w:t>
      </w:r>
    </w:p>
    <w:p w14:paraId="76E45772" w14:textId="6871EF0B" w:rsidR="00F54CA4" w:rsidRPr="001C34CC" w:rsidRDefault="003B1FFE" w:rsidP="001C34CC">
      <w:pPr>
        <w:jc w:val="both"/>
        <w:rPr>
          <w:rFonts w:ascii="Calibri" w:hAnsi="Calibri"/>
        </w:rPr>
      </w:pPr>
      <w:r>
        <w:rPr>
          <w:rFonts w:ascii="Calibri" w:hAnsi="Calibri"/>
        </w:rPr>
        <w:t>Our</w:t>
      </w:r>
      <w:r w:rsidR="00F54CA4" w:rsidRPr="001C34CC">
        <w:rPr>
          <w:rFonts w:ascii="Calibri" w:hAnsi="Calibri"/>
        </w:rPr>
        <w:t xml:space="preserve"> </w:t>
      </w:r>
      <w:r w:rsidR="00F54CA4" w:rsidRPr="005F44AD">
        <w:rPr>
          <w:rFonts w:ascii="Calibri" w:hAnsi="Calibri"/>
          <w:i/>
        </w:rPr>
        <w:t>Tax Expert Group</w:t>
      </w:r>
      <w:r w:rsidR="00F54CA4" w:rsidRPr="001C34CC">
        <w:rPr>
          <w:rFonts w:ascii="Calibri" w:hAnsi="Calibri"/>
        </w:rPr>
        <w:t xml:space="preserve">, supported by </w:t>
      </w:r>
      <w:r>
        <w:rPr>
          <w:rFonts w:ascii="Calibri" w:hAnsi="Calibri"/>
        </w:rPr>
        <w:t>our</w:t>
      </w:r>
      <w:r w:rsidRPr="001C34CC">
        <w:rPr>
          <w:rFonts w:ascii="Calibri" w:hAnsi="Calibri"/>
        </w:rPr>
        <w:t xml:space="preserve"> </w:t>
      </w:r>
      <w:r w:rsidR="00F54CA4" w:rsidRPr="005F44AD">
        <w:rPr>
          <w:rFonts w:ascii="Calibri" w:hAnsi="Calibri"/>
          <w:i/>
        </w:rPr>
        <w:t>Share Schemes Expert Group</w:t>
      </w:r>
      <w:r w:rsidR="00F54CA4" w:rsidRPr="001C34CC">
        <w:rPr>
          <w:rFonts w:ascii="Calibri" w:hAnsi="Calibri"/>
        </w:rPr>
        <w:t xml:space="preserve">, has prepared these proposals for taxation reform. </w:t>
      </w:r>
      <w:r w:rsidR="00B904E4" w:rsidRPr="00AB459A">
        <w:rPr>
          <w:rFonts w:ascii="Calibri" w:hAnsi="Calibri"/>
          <w:color w:val="FF0000"/>
        </w:rPr>
        <w:t xml:space="preserve">Our Tax Expert Group and Share Schemes Expert Group are committees that bring together experts on tax and share scheme issues respectively for small and mid-cap companies. </w:t>
      </w:r>
      <w:r w:rsidR="00F54CA4" w:rsidRPr="001C34CC">
        <w:rPr>
          <w:rFonts w:ascii="Calibri" w:hAnsi="Calibri"/>
        </w:rPr>
        <w:t>A list of</w:t>
      </w:r>
      <w:r w:rsidR="002B6186">
        <w:rPr>
          <w:rFonts w:ascii="Calibri" w:hAnsi="Calibri"/>
        </w:rPr>
        <w:t xml:space="preserve"> Expert Group</w:t>
      </w:r>
      <w:r w:rsidR="00F54CA4" w:rsidRPr="001C34CC">
        <w:rPr>
          <w:rFonts w:ascii="Calibri" w:hAnsi="Calibri"/>
        </w:rPr>
        <w:t xml:space="preserve"> members can be found in Appendix </w:t>
      </w:r>
      <w:r w:rsidR="008A6AE4">
        <w:rPr>
          <w:rFonts w:ascii="Calibri" w:hAnsi="Calibri"/>
        </w:rPr>
        <w:t>F</w:t>
      </w:r>
      <w:r w:rsidR="00F54CA4" w:rsidRPr="001C34CC">
        <w:rPr>
          <w:rFonts w:ascii="Calibri" w:hAnsi="Calibri"/>
        </w:rPr>
        <w:t>.</w:t>
      </w:r>
    </w:p>
    <w:p w14:paraId="30FBB0D8" w14:textId="77777777" w:rsidR="00F54CA4" w:rsidRPr="001C34CC" w:rsidRDefault="00F54CA4" w:rsidP="00E07917">
      <w:pPr>
        <w:spacing w:after="0"/>
        <w:jc w:val="both"/>
        <w:rPr>
          <w:rFonts w:ascii="Calibri" w:hAnsi="Calibri"/>
        </w:rPr>
      </w:pPr>
      <w:r w:rsidRPr="001C34CC">
        <w:rPr>
          <w:rFonts w:ascii="Calibri" w:hAnsi="Calibri"/>
        </w:rPr>
        <w:t>For more information about our organisation, please contact:</w:t>
      </w:r>
    </w:p>
    <w:p w14:paraId="42BC0ED5" w14:textId="77777777" w:rsidR="000B6427" w:rsidRDefault="000B6427" w:rsidP="001C34CC">
      <w:pPr>
        <w:spacing w:after="0"/>
        <w:jc w:val="both"/>
        <w:rPr>
          <w:rFonts w:ascii="Calibri" w:hAnsi="Calibri"/>
        </w:rPr>
      </w:pPr>
    </w:p>
    <w:tbl>
      <w:tblPr>
        <w:tblStyle w:val="TableGrid"/>
        <w:tblW w:w="992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835"/>
        <w:gridCol w:w="3685"/>
        <w:gridCol w:w="3402"/>
      </w:tblGrid>
      <w:tr w:rsidR="008A6AE4" w14:paraId="6B58B7CB" w14:textId="77777777" w:rsidTr="008B5656">
        <w:tc>
          <w:tcPr>
            <w:tcW w:w="2835" w:type="dxa"/>
          </w:tcPr>
          <w:p w14:paraId="6A504F06" w14:textId="67C42D69" w:rsidR="008A6AE4" w:rsidRPr="00E07917" w:rsidRDefault="008A6AE4" w:rsidP="008A6AE4">
            <w:pPr>
              <w:spacing w:before="360" w:after="360"/>
              <w:jc w:val="center"/>
              <w:rPr>
                <w:b/>
              </w:rPr>
            </w:pPr>
            <w:r w:rsidRPr="00E07917">
              <w:rPr>
                <w:b/>
              </w:rPr>
              <w:t>Tim Ward</w:t>
            </w:r>
          </w:p>
        </w:tc>
        <w:tc>
          <w:tcPr>
            <w:tcW w:w="3685" w:type="dxa"/>
          </w:tcPr>
          <w:p w14:paraId="25F48587" w14:textId="1D88CBBD" w:rsidR="008A6AE4" w:rsidRPr="00E07917" w:rsidRDefault="008A6AE4" w:rsidP="008A6AE4">
            <w:pPr>
              <w:spacing w:before="360" w:after="360"/>
              <w:jc w:val="center"/>
              <w:rPr>
                <w:b/>
              </w:rPr>
            </w:pPr>
            <w:r w:rsidRPr="00E07917">
              <w:rPr>
                <w:b/>
              </w:rPr>
              <w:t>Anthony Robinson</w:t>
            </w:r>
          </w:p>
        </w:tc>
        <w:tc>
          <w:tcPr>
            <w:tcW w:w="3402" w:type="dxa"/>
          </w:tcPr>
          <w:p w14:paraId="30B3588C" w14:textId="7FE37CAE" w:rsidR="008A6AE4" w:rsidRPr="00E07917" w:rsidRDefault="00171FBC" w:rsidP="00171FBC">
            <w:pPr>
              <w:spacing w:before="360" w:after="360"/>
              <w:jc w:val="center"/>
              <w:rPr>
                <w:b/>
              </w:rPr>
            </w:pPr>
            <w:r>
              <w:rPr>
                <w:b/>
              </w:rPr>
              <w:t>Jack</w:t>
            </w:r>
            <w:r w:rsidRPr="00E07917">
              <w:rPr>
                <w:b/>
              </w:rPr>
              <w:t xml:space="preserve"> </w:t>
            </w:r>
            <w:r>
              <w:rPr>
                <w:b/>
              </w:rPr>
              <w:t>Marshall</w:t>
            </w:r>
          </w:p>
        </w:tc>
      </w:tr>
      <w:tr w:rsidR="008A6AE4" w14:paraId="6B0B23C6" w14:textId="77777777" w:rsidTr="008B5656">
        <w:tc>
          <w:tcPr>
            <w:tcW w:w="2835" w:type="dxa"/>
          </w:tcPr>
          <w:p w14:paraId="458FC4C8" w14:textId="7A085173" w:rsidR="008A6AE4" w:rsidRDefault="008A6AE4" w:rsidP="008A6AE4">
            <w:pPr>
              <w:spacing w:before="360" w:after="360"/>
              <w:jc w:val="center"/>
            </w:pPr>
            <w:r>
              <w:t>Chief Executive</w:t>
            </w:r>
          </w:p>
        </w:tc>
        <w:tc>
          <w:tcPr>
            <w:tcW w:w="3685" w:type="dxa"/>
          </w:tcPr>
          <w:p w14:paraId="377D04FF" w14:textId="35863E8E" w:rsidR="008A6AE4" w:rsidRDefault="008A6AE4" w:rsidP="00E07917">
            <w:pPr>
              <w:spacing w:before="360" w:after="360"/>
              <w:jc w:val="center"/>
            </w:pPr>
            <w:r>
              <w:t xml:space="preserve">Head of Policy </w:t>
            </w:r>
            <w:r w:rsidR="00E07917">
              <w:t>&amp;</w:t>
            </w:r>
            <w:r>
              <w:t xml:space="preserve"> Communications</w:t>
            </w:r>
          </w:p>
        </w:tc>
        <w:tc>
          <w:tcPr>
            <w:tcW w:w="3402" w:type="dxa"/>
          </w:tcPr>
          <w:p w14:paraId="52358A65" w14:textId="65BC3253" w:rsidR="008A6AE4" w:rsidRDefault="008A6AE4" w:rsidP="008A6AE4">
            <w:pPr>
              <w:spacing w:before="360" w:after="360"/>
              <w:jc w:val="center"/>
            </w:pPr>
            <w:r>
              <w:t>Policy Adviser</w:t>
            </w:r>
          </w:p>
        </w:tc>
      </w:tr>
      <w:tr w:rsidR="008A6AE4" w14:paraId="22ABD790" w14:textId="77777777" w:rsidTr="008B5656">
        <w:tc>
          <w:tcPr>
            <w:tcW w:w="2835" w:type="dxa"/>
          </w:tcPr>
          <w:p w14:paraId="25685007" w14:textId="2B1510B7" w:rsidR="008A6AE4" w:rsidRDefault="00CD5B08" w:rsidP="008A6AE4">
            <w:pPr>
              <w:spacing w:before="360" w:after="360"/>
              <w:jc w:val="center"/>
            </w:pPr>
            <w:hyperlink r:id="rId14" w:history="1">
              <w:r w:rsidR="008A6AE4" w:rsidRPr="006368E7">
                <w:rPr>
                  <w:rStyle w:val="Hyperlink"/>
                </w:rPr>
                <w:t>tim.ward@theqca.com</w:t>
              </w:r>
            </w:hyperlink>
            <w:r w:rsidR="008A6AE4">
              <w:t xml:space="preserve"> </w:t>
            </w:r>
          </w:p>
        </w:tc>
        <w:tc>
          <w:tcPr>
            <w:tcW w:w="3685" w:type="dxa"/>
          </w:tcPr>
          <w:p w14:paraId="2DD2E201" w14:textId="3C1CAB67" w:rsidR="008A6AE4" w:rsidRDefault="00CD5B08" w:rsidP="008A6AE4">
            <w:pPr>
              <w:spacing w:before="360" w:after="360"/>
              <w:jc w:val="center"/>
            </w:pPr>
            <w:hyperlink r:id="rId15" w:history="1">
              <w:r w:rsidR="008A6AE4" w:rsidRPr="006368E7">
                <w:rPr>
                  <w:rStyle w:val="Hyperlink"/>
                </w:rPr>
                <w:t>anthony.robinson@theqca.com</w:t>
              </w:r>
            </w:hyperlink>
            <w:r w:rsidR="008A6AE4">
              <w:t xml:space="preserve"> </w:t>
            </w:r>
          </w:p>
        </w:tc>
        <w:tc>
          <w:tcPr>
            <w:tcW w:w="3402" w:type="dxa"/>
          </w:tcPr>
          <w:p w14:paraId="0E350274" w14:textId="6DC8916F" w:rsidR="008A6AE4" w:rsidRDefault="00CD5B08" w:rsidP="00171FBC">
            <w:pPr>
              <w:spacing w:before="360" w:after="360"/>
              <w:jc w:val="center"/>
            </w:pPr>
            <w:hyperlink r:id="rId16" w:history="1">
              <w:r w:rsidR="00AA7E56" w:rsidRPr="00AA7E56">
                <w:rPr>
                  <w:rStyle w:val="Hyperlink"/>
                </w:rPr>
                <w:t>jack.marshall@theqca.com</w:t>
              </w:r>
            </w:hyperlink>
            <w:r w:rsidR="008A6AE4">
              <w:t xml:space="preserve"> </w:t>
            </w:r>
          </w:p>
        </w:tc>
      </w:tr>
      <w:tr w:rsidR="008A6AE4" w14:paraId="607A8DCD" w14:textId="77777777" w:rsidTr="008B5656">
        <w:tc>
          <w:tcPr>
            <w:tcW w:w="9922" w:type="dxa"/>
            <w:gridSpan w:val="3"/>
          </w:tcPr>
          <w:p w14:paraId="228EEF2E" w14:textId="4B2BEDF8" w:rsidR="008A6AE4" w:rsidRDefault="008A6AE4" w:rsidP="008A6AE4">
            <w:pPr>
              <w:spacing w:before="360" w:after="360"/>
              <w:jc w:val="center"/>
            </w:pPr>
            <w:r>
              <w:t>Quoted Companies Alliance, 6 Kinghorn Street, London, EC1A 4HW</w:t>
            </w:r>
          </w:p>
        </w:tc>
      </w:tr>
      <w:tr w:rsidR="008A6AE4" w14:paraId="3A9FA0E6" w14:textId="77777777" w:rsidTr="008B5656">
        <w:tc>
          <w:tcPr>
            <w:tcW w:w="9922" w:type="dxa"/>
            <w:gridSpan w:val="3"/>
          </w:tcPr>
          <w:p w14:paraId="6E512905" w14:textId="18EC699B" w:rsidR="008A6AE4" w:rsidRDefault="008A6AE4" w:rsidP="008A6AE4">
            <w:pPr>
              <w:spacing w:before="360" w:after="360"/>
              <w:jc w:val="center"/>
            </w:pPr>
            <w:r>
              <w:lastRenderedPageBreak/>
              <w:t>020 7600 3745</w:t>
            </w:r>
          </w:p>
        </w:tc>
      </w:tr>
      <w:tr w:rsidR="008A6AE4" w14:paraId="19AACD5D" w14:textId="77777777" w:rsidTr="008B5656">
        <w:tc>
          <w:tcPr>
            <w:tcW w:w="9922" w:type="dxa"/>
            <w:gridSpan w:val="3"/>
          </w:tcPr>
          <w:p w14:paraId="68979137" w14:textId="1281820B" w:rsidR="008A6AE4" w:rsidRDefault="00CD5B08" w:rsidP="008A6AE4">
            <w:pPr>
              <w:spacing w:before="360" w:after="360"/>
              <w:jc w:val="center"/>
            </w:pPr>
            <w:hyperlink r:id="rId17" w:history="1">
              <w:r w:rsidR="008A6AE4" w:rsidRPr="006368E7">
                <w:rPr>
                  <w:rStyle w:val="Hyperlink"/>
                </w:rPr>
                <w:t>www.theqca.com</w:t>
              </w:r>
            </w:hyperlink>
          </w:p>
        </w:tc>
      </w:tr>
    </w:tbl>
    <w:p w14:paraId="088FB068" w14:textId="365932AF" w:rsidR="008A6AE4" w:rsidRDefault="00687852" w:rsidP="001C34CC">
      <w:pPr>
        <w:spacing w:after="0"/>
        <w:jc w:val="both"/>
        <w:rPr>
          <w:rFonts w:ascii="Calibri" w:hAnsi="Calibri"/>
        </w:rPr>
      </w:pPr>
      <w:r>
        <w:rPr>
          <w:rFonts w:ascii="Calibri" w:hAnsi="Calibri"/>
        </w:rPr>
        <w:tab/>
      </w:r>
    </w:p>
    <w:p w14:paraId="44D1EC33" w14:textId="77777777" w:rsidR="008A6AE4" w:rsidRDefault="008A6AE4" w:rsidP="001C34CC">
      <w:pPr>
        <w:spacing w:after="0"/>
        <w:jc w:val="both"/>
        <w:rPr>
          <w:rFonts w:ascii="Calibri" w:hAnsi="Calibri"/>
        </w:rPr>
      </w:pPr>
    </w:p>
    <w:p w14:paraId="445F4502" w14:textId="77777777" w:rsidR="008A6AE4" w:rsidRDefault="008A6AE4" w:rsidP="001C34CC">
      <w:pPr>
        <w:spacing w:after="0"/>
        <w:jc w:val="both"/>
        <w:rPr>
          <w:rFonts w:ascii="Calibri" w:hAnsi="Calibri"/>
        </w:rPr>
      </w:pPr>
    </w:p>
    <w:p w14:paraId="15E72775" w14:textId="77777777" w:rsidR="008A6AE4" w:rsidRDefault="008A6AE4" w:rsidP="001C34CC">
      <w:pPr>
        <w:spacing w:after="0"/>
        <w:jc w:val="both"/>
        <w:rPr>
          <w:rFonts w:ascii="Calibri" w:hAnsi="Calibri"/>
        </w:rPr>
      </w:pPr>
    </w:p>
    <w:p w14:paraId="5FE18327" w14:textId="77777777" w:rsidR="008A6AE4" w:rsidRDefault="008A6AE4" w:rsidP="001C34CC">
      <w:pPr>
        <w:spacing w:after="0"/>
        <w:jc w:val="both"/>
        <w:rPr>
          <w:rFonts w:ascii="Calibri" w:hAnsi="Calibri"/>
        </w:rPr>
        <w:sectPr w:rsidR="008A6AE4" w:rsidSect="00F27B7A">
          <w:pgSz w:w="11906" w:h="16838"/>
          <w:pgMar w:top="1134" w:right="1134" w:bottom="1134" w:left="1134" w:header="708" w:footer="708" w:gutter="0"/>
          <w:cols w:space="708"/>
          <w:docGrid w:linePitch="360"/>
        </w:sectPr>
      </w:pPr>
    </w:p>
    <w:p w14:paraId="686BCFE2" w14:textId="3B3820DB" w:rsidR="00F54CA4" w:rsidRPr="00F72A74" w:rsidRDefault="00687852" w:rsidP="001C34CC">
      <w:pPr>
        <w:spacing w:after="0"/>
        <w:jc w:val="both"/>
        <w:sectPr w:rsidR="00F54CA4" w:rsidRPr="00F72A74" w:rsidSect="000B6427">
          <w:type w:val="continuous"/>
          <w:pgSz w:w="11906" w:h="16838"/>
          <w:pgMar w:top="1440" w:right="1080" w:bottom="1440" w:left="1080" w:header="708" w:footer="708" w:gutter="0"/>
          <w:cols w:space="708"/>
          <w:docGrid w:linePitch="360"/>
        </w:sectPr>
      </w:pP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p>
    <w:p w14:paraId="0B131162" w14:textId="77777777" w:rsidR="002003EA" w:rsidRPr="00F72A74" w:rsidRDefault="002003EA" w:rsidP="00D76B7C">
      <w:pPr>
        <w:pStyle w:val="Heading1"/>
        <w:spacing w:before="0" w:after="200"/>
        <w:jc w:val="both"/>
        <w:rPr>
          <w:rFonts w:ascii="Calibri" w:hAnsi="Calibri"/>
          <w:color w:val="auto"/>
          <w:sz w:val="24"/>
        </w:rPr>
      </w:pPr>
      <w:bookmarkStart w:id="2" w:name="_Toc19093850"/>
      <w:r>
        <w:rPr>
          <w:rFonts w:ascii="Calibri" w:hAnsi="Calibri"/>
          <w:color w:val="auto"/>
          <w:sz w:val="24"/>
        </w:rPr>
        <w:lastRenderedPageBreak/>
        <w:t>Executive Summary</w:t>
      </w:r>
      <w:bookmarkEnd w:id="2"/>
    </w:p>
    <w:p w14:paraId="33A23907" w14:textId="25B851E0" w:rsidR="00550A1E" w:rsidRDefault="00550A1E" w:rsidP="00550A1E">
      <w:pPr>
        <w:jc w:val="both"/>
        <w:rPr>
          <w:rFonts w:ascii="Calibri" w:hAnsi="Calibri"/>
          <w:color w:val="FF0000"/>
        </w:rPr>
      </w:pPr>
      <w:r>
        <w:rPr>
          <w:rFonts w:ascii="Calibri" w:hAnsi="Calibri"/>
          <w:color w:val="FF0000"/>
        </w:rPr>
        <w:t xml:space="preserve">This submission seeks to communicate the main priorities of the Quoted Companies Alliance ahead of the forthcoming Budget. We welcome the opportunity to highlight </w:t>
      </w:r>
      <w:r w:rsidR="00313C3E">
        <w:rPr>
          <w:rFonts w:ascii="Calibri" w:hAnsi="Calibri"/>
          <w:color w:val="FF0000"/>
        </w:rPr>
        <w:t>the key issues that are encountered by our members</w:t>
      </w:r>
      <w:r>
        <w:rPr>
          <w:rFonts w:ascii="Calibri" w:hAnsi="Calibri"/>
          <w:color w:val="FF0000"/>
        </w:rPr>
        <w:t xml:space="preserve">, as well as propose recommendations to make improvements. </w:t>
      </w:r>
    </w:p>
    <w:p w14:paraId="27AF44D5" w14:textId="00C1EA4E" w:rsidR="006E43D6" w:rsidRDefault="0046711A" w:rsidP="002003EA">
      <w:pPr>
        <w:jc w:val="both"/>
        <w:rPr>
          <w:rFonts w:ascii="Calibri" w:hAnsi="Calibri"/>
          <w:color w:val="FF0000"/>
        </w:rPr>
      </w:pPr>
      <w:r>
        <w:rPr>
          <w:rFonts w:ascii="Calibri" w:hAnsi="Calibri"/>
          <w:color w:val="FF0000"/>
        </w:rPr>
        <w:t xml:space="preserve">Smaller, growing companies are key for the future health of public markets and </w:t>
      </w:r>
      <w:r w:rsidR="00313C3E">
        <w:rPr>
          <w:rFonts w:ascii="Calibri" w:hAnsi="Calibri"/>
          <w:color w:val="FF0000"/>
        </w:rPr>
        <w:t xml:space="preserve">the provision of an alternative source of growth funding to venture capital and private equity. The issues we highlight, and </w:t>
      </w:r>
      <w:r w:rsidR="009B36FC">
        <w:rPr>
          <w:rFonts w:ascii="Calibri" w:hAnsi="Calibri"/>
          <w:color w:val="FF0000"/>
        </w:rPr>
        <w:t>the recommendations we propose,</w:t>
      </w:r>
      <w:r w:rsidR="00012E65">
        <w:rPr>
          <w:rFonts w:ascii="Calibri" w:hAnsi="Calibri"/>
          <w:color w:val="FF0000"/>
        </w:rPr>
        <w:t xml:space="preserve"> </w:t>
      </w:r>
      <w:r w:rsidR="00313C3E">
        <w:rPr>
          <w:rFonts w:ascii="Calibri" w:hAnsi="Calibri"/>
          <w:color w:val="FF0000"/>
        </w:rPr>
        <w:t xml:space="preserve">are intended </w:t>
      </w:r>
      <w:r w:rsidR="006E43D6">
        <w:rPr>
          <w:rFonts w:ascii="Calibri" w:hAnsi="Calibri"/>
          <w:color w:val="FF0000"/>
        </w:rPr>
        <w:t xml:space="preserve">to ensure that the tax system gives smaller companies the appropriate platform they need to grow and thus deliver economic prosperity. </w:t>
      </w:r>
    </w:p>
    <w:p w14:paraId="5645BEE6" w14:textId="1D4DDAB5" w:rsidR="00801D89" w:rsidRDefault="00313C3E" w:rsidP="002003EA">
      <w:pPr>
        <w:jc w:val="both"/>
        <w:rPr>
          <w:rFonts w:ascii="Calibri" w:hAnsi="Calibri"/>
          <w:color w:val="FF0000"/>
        </w:rPr>
      </w:pPr>
      <w:r>
        <w:rPr>
          <w:rFonts w:ascii="Calibri" w:hAnsi="Calibri"/>
          <w:color w:val="FF0000"/>
        </w:rPr>
        <w:t xml:space="preserve">The growth nature of many small and mid-size quoted companies often means that they are financially </w:t>
      </w:r>
      <w:r w:rsidR="00012E65">
        <w:rPr>
          <w:rFonts w:ascii="Calibri" w:hAnsi="Calibri"/>
          <w:color w:val="FF0000"/>
        </w:rPr>
        <w:t>weaker</w:t>
      </w:r>
      <w:r w:rsidR="006E43D6">
        <w:rPr>
          <w:rFonts w:ascii="Calibri" w:hAnsi="Calibri"/>
          <w:color w:val="FF0000"/>
        </w:rPr>
        <w:t xml:space="preserve"> than larger, more established companies, which therefore means that attracting investment and raising money is often more complicated. </w:t>
      </w:r>
      <w:r w:rsidR="00801D89">
        <w:rPr>
          <w:rFonts w:ascii="Calibri" w:hAnsi="Calibri"/>
          <w:color w:val="FF0000"/>
        </w:rPr>
        <w:t>Accordingly, it is vitally important that a tax system is built to allow growing companies access to capital.</w:t>
      </w:r>
    </w:p>
    <w:p w14:paraId="7222EF01" w14:textId="4DD2F891" w:rsidR="0022214E" w:rsidRPr="00B6259E" w:rsidRDefault="00AA31CA" w:rsidP="002003EA">
      <w:pPr>
        <w:jc w:val="both"/>
        <w:rPr>
          <w:rFonts w:ascii="Calibri" w:hAnsi="Calibri"/>
          <w:color w:val="FF0000"/>
        </w:rPr>
      </w:pPr>
      <w:r>
        <w:rPr>
          <w:rFonts w:ascii="Calibri" w:hAnsi="Calibri"/>
          <w:color w:val="FF0000"/>
        </w:rPr>
        <w:t xml:space="preserve">The </w:t>
      </w:r>
      <w:r w:rsidR="00805681">
        <w:rPr>
          <w:rFonts w:ascii="Calibri" w:hAnsi="Calibri"/>
          <w:color w:val="FF0000"/>
        </w:rPr>
        <w:t xml:space="preserve">political </w:t>
      </w:r>
      <w:r w:rsidR="006C2ACD">
        <w:rPr>
          <w:rFonts w:ascii="Calibri" w:hAnsi="Calibri"/>
          <w:color w:val="FF0000"/>
        </w:rPr>
        <w:t xml:space="preserve">and economic </w:t>
      </w:r>
      <w:r w:rsidR="00805681">
        <w:rPr>
          <w:rFonts w:ascii="Calibri" w:hAnsi="Calibri"/>
          <w:color w:val="FF0000"/>
        </w:rPr>
        <w:t>uncertainty</w:t>
      </w:r>
      <w:r>
        <w:rPr>
          <w:rFonts w:ascii="Calibri" w:hAnsi="Calibri"/>
          <w:color w:val="FF0000"/>
        </w:rPr>
        <w:t xml:space="preserve"> that currently engulfs the UK has exacerbated issues for smaller companies, as well as acted as an impediment to their growth. With the likelihood of a general election, it becomes increasingly important for</w:t>
      </w:r>
      <w:r w:rsidR="00A65320">
        <w:rPr>
          <w:rFonts w:ascii="Calibri" w:hAnsi="Calibri"/>
          <w:color w:val="FF0000"/>
        </w:rPr>
        <w:t xml:space="preserve"> </w:t>
      </w:r>
      <w:r w:rsidR="00AB32F2">
        <w:rPr>
          <w:rFonts w:ascii="Calibri" w:hAnsi="Calibri"/>
          <w:color w:val="FF0000"/>
        </w:rPr>
        <w:t xml:space="preserve">small and mid-size quoted companies </w:t>
      </w:r>
      <w:r>
        <w:rPr>
          <w:rFonts w:ascii="Calibri" w:hAnsi="Calibri"/>
          <w:color w:val="FF0000"/>
        </w:rPr>
        <w:t>to have a</w:t>
      </w:r>
      <w:r w:rsidR="00AB32F2">
        <w:rPr>
          <w:rFonts w:ascii="Calibri" w:hAnsi="Calibri"/>
          <w:color w:val="FF0000"/>
        </w:rPr>
        <w:t xml:space="preserve"> government that maintains its commitment to support them in generating the growth required to provide economic stability, and to create jobs and wealth. A future taxation system must be formed on three central pillars: </w:t>
      </w:r>
      <w:r w:rsidR="00AB32F2" w:rsidRPr="00AB32F2">
        <w:rPr>
          <w:rFonts w:ascii="Calibri" w:hAnsi="Calibri"/>
          <w:b/>
          <w:color w:val="FF0000"/>
        </w:rPr>
        <w:t>competitiveness</w:t>
      </w:r>
      <w:r w:rsidR="00AB32F2">
        <w:rPr>
          <w:rFonts w:ascii="Calibri" w:hAnsi="Calibri"/>
          <w:color w:val="FF0000"/>
        </w:rPr>
        <w:t xml:space="preserve">, </w:t>
      </w:r>
      <w:r w:rsidR="00AB32F2" w:rsidRPr="00AB32F2">
        <w:rPr>
          <w:rFonts w:ascii="Calibri" w:hAnsi="Calibri"/>
          <w:b/>
          <w:color w:val="FF0000"/>
        </w:rPr>
        <w:t>simplicity</w:t>
      </w:r>
      <w:r w:rsidR="00AB32F2">
        <w:rPr>
          <w:rFonts w:ascii="Calibri" w:hAnsi="Calibri"/>
          <w:color w:val="FF0000"/>
        </w:rPr>
        <w:t xml:space="preserve"> and </w:t>
      </w:r>
      <w:r w:rsidR="00AB32F2" w:rsidRPr="00AB32F2">
        <w:rPr>
          <w:rFonts w:ascii="Calibri" w:hAnsi="Calibri"/>
          <w:b/>
          <w:color w:val="FF0000"/>
        </w:rPr>
        <w:t>certainty</w:t>
      </w:r>
      <w:r w:rsidR="00AB32F2">
        <w:rPr>
          <w:rFonts w:ascii="Calibri" w:hAnsi="Calibri"/>
          <w:color w:val="FF0000"/>
        </w:rPr>
        <w:t xml:space="preserve">. </w:t>
      </w:r>
    </w:p>
    <w:p w14:paraId="790C2301" w14:textId="77777777" w:rsidR="003B1FFE" w:rsidRPr="003D2248" w:rsidRDefault="003B1FFE" w:rsidP="003B1FFE">
      <w:pPr>
        <w:pStyle w:val="ListParagraph"/>
        <w:numPr>
          <w:ilvl w:val="0"/>
          <w:numId w:val="2"/>
        </w:numPr>
        <w:ind w:left="426" w:hanging="426"/>
        <w:contextualSpacing w:val="0"/>
        <w:jc w:val="both"/>
        <w:rPr>
          <w:rFonts w:ascii="Calibri" w:hAnsi="Calibri"/>
          <w:b/>
          <w:i/>
          <w:sz w:val="24"/>
          <w:u w:val="single"/>
        </w:rPr>
      </w:pPr>
      <w:r>
        <w:rPr>
          <w:rFonts w:ascii="Calibri" w:hAnsi="Calibri"/>
          <w:b/>
          <w:i/>
          <w:sz w:val="24"/>
          <w:u w:val="single"/>
        </w:rPr>
        <w:t>Competitive</w:t>
      </w:r>
    </w:p>
    <w:p w14:paraId="61A7D279" w14:textId="5897E22E" w:rsidR="003B1FFE" w:rsidRDefault="00A14B49" w:rsidP="003B1FFE">
      <w:pPr>
        <w:jc w:val="both"/>
        <w:rPr>
          <w:rFonts w:ascii="Calibri" w:hAnsi="Calibri"/>
        </w:rPr>
      </w:pPr>
      <w:r>
        <w:rPr>
          <w:rFonts w:ascii="Calibri" w:hAnsi="Calibri"/>
        </w:rPr>
        <w:t>If the UK leaves the European Union</w:t>
      </w:r>
      <w:r w:rsidR="003B1FFE">
        <w:rPr>
          <w:rFonts w:ascii="Calibri" w:hAnsi="Calibri"/>
        </w:rPr>
        <w:t xml:space="preserve">, it must build a competitive tax regime that both incentivises and enables smaller, growing companies to raise sustainable, long-term capital more cheaply and efficiently. This will be crucial to supporting long-term economic stability and </w:t>
      </w:r>
      <w:r w:rsidR="00621F12">
        <w:rPr>
          <w:rFonts w:ascii="Calibri" w:hAnsi="Calibri"/>
        </w:rPr>
        <w:t>demonstrating</w:t>
      </w:r>
      <w:r w:rsidR="000B6427">
        <w:rPr>
          <w:rFonts w:ascii="Calibri" w:hAnsi="Calibri"/>
        </w:rPr>
        <w:t xml:space="preserve"> that</w:t>
      </w:r>
      <w:r w:rsidR="00621F12">
        <w:rPr>
          <w:rFonts w:ascii="Calibri" w:hAnsi="Calibri"/>
        </w:rPr>
        <w:t xml:space="preserve"> the UK is an attractive place to do business</w:t>
      </w:r>
      <w:r w:rsidR="003B1FFE">
        <w:rPr>
          <w:rFonts w:ascii="Calibri" w:hAnsi="Calibri"/>
        </w:rPr>
        <w:t xml:space="preserve">. </w:t>
      </w:r>
      <w:r w:rsidR="00665FC8">
        <w:rPr>
          <w:rFonts w:ascii="Calibri" w:hAnsi="Calibri"/>
        </w:rPr>
        <w:tab/>
      </w:r>
      <w:r w:rsidR="00665FC8">
        <w:rPr>
          <w:rFonts w:ascii="Calibri" w:hAnsi="Calibri"/>
        </w:rPr>
        <w:tab/>
      </w:r>
    </w:p>
    <w:p w14:paraId="7E42688F" w14:textId="77777777" w:rsidR="009B5396" w:rsidRDefault="009B5396" w:rsidP="003B1FFE">
      <w:pPr>
        <w:jc w:val="both"/>
        <w:rPr>
          <w:rFonts w:ascii="Calibri" w:hAnsi="Calibri"/>
        </w:rPr>
      </w:pPr>
      <w:r>
        <w:rPr>
          <w:rFonts w:ascii="Calibri" w:hAnsi="Calibri"/>
        </w:rPr>
        <w:t>We call on the government to:</w:t>
      </w:r>
    </w:p>
    <w:tbl>
      <w:tblPr>
        <w:tblStyle w:val="MediumGrid1-Accent2"/>
        <w:tblW w:w="9921" w:type="dxa"/>
        <w:tblLook w:val="04A0" w:firstRow="1" w:lastRow="0" w:firstColumn="1" w:lastColumn="0" w:noHBand="0" w:noVBand="1"/>
      </w:tblPr>
      <w:tblGrid>
        <w:gridCol w:w="9921"/>
      </w:tblGrid>
      <w:tr w:rsidR="00E8564A" w14:paraId="689247DB" w14:textId="77777777" w:rsidTr="00474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1" w:type="dxa"/>
          </w:tcPr>
          <w:p w14:paraId="54B238C6" w14:textId="7F88B05D" w:rsidR="00E8564A" w:rsidRPr="005B3224" w:rsidRDefault="009443D4" w:rsidP="00233725">
            <w:pPr>
              <w:pStyle w:val="Footer"/>
              <w:numPr>
                <w:ilvl w:val="0"/>
                <w:numId w:val="20"/>
              </w:numPr>
              <w:tabs>
                <w:tab w:val="clear" w:pos="4513"/>
                <w:tab w:val="clear" w:pos="9026"/>
              </w:tabs>
              <w:spacing w:before="140" w:after="140" w:line="276" w:lineRule="auto"/>
              <w:ind w:left="426" w:hanging="426"/>
              <w:jc w:val="both"/>
              <w:rPr>
                <w:rFonts w:ascii="Calibri" w:hAnsi="Calibri" w:cs="Calibri"/>
                <w:b w:val="0"/>
              </w:rPr>
            </w:pPr>
            <w:r>
              <w:rPr>
                <w:rFonts w:ascii="Calibri" w:hAnsi="Calibri" w:cs="Calibri"/>
              </w:rPr>
              <w:t xml:space="preserve">Follow </w:t>
            </w:r>
            <w:r w:rsidR="008A6AE4">
              <w:rPr>
                <w:rFonts w:ascii="Calibri" w:hAnsi="Calibri" w:cs="Calibri"/>
              </w:rPr>
              <w:t xml:space="preserve">the </w:t>
            </w:r>
            <w:r>
              <w:rPr>
                <w:rFonts w:ascii="Calibri" w:hAnsi="Calibri" w:cs="Calibri"/>
              </w:rPr>
              <w:t xml:space="preserve">18 European countries </w:t>
            </w:r>
            <w:r w:rsidR="00BA4D98">
              <w:rPr>
                <w:rFonts w:ascii="Calibri" w:hAnsi="Calibri" w:cs="Calibri"/>
              </w:rPr>
              <w:t>which support a</w:t>
            </w:r>
            <w:r>
              <w:rPr>
                <w:rFonts w:ascii="Calibri" w:hAnsi="Calibri" w:cs="Calibri"/>
              </w:rPr>
              <w:t xml:space="preserve"> </w:t>
            </w:r>
            <w:r w:rsidR="00BA4D98">
              <w:rPr>
                <w:rFonts w:ascii="Calibri" w:hAnsi="Calibri" w:cs="Calibri"/>
              </w:rPr>
              <w:t xml:space="preserve">level </w:t>
            </w:r>
            <w:r w:rsidR="00E8564A" w:rsidRPr="00E8564A">
              <w:rPr>
                <w:rFonts w:ascii="Calibri" w:hAnsi="Calibri" w:cs="Calibri"/>
              </w:rPr>
              <w:t>playing field for capital raising by permitting all costs associated with raising equity to be tax deductible</w:t>
            </w:r>
            <w:r w:rsidR="00E8564A" w:rsidRPr="00BF5312">
              <w:rPr>
                <w:rFonts w:ascii="Calibri" w:hAnsi="Calibri" w:cs="Calibri"/>
                <w:b w:val="0"/>
              </w:rPr>
              <w:t xml:space="preserve"> through:</w:t>
            </w:r>
          </w:p>
          <w:p w14:paraId="5438E376" w14:textId="1F5C83A0" w:rsidR="00E8564A" w:rsidRPr="005B3224" w:rsidRDefault="00E8564A" w:rsidP="00233725">
            <w:pPr>
              <w:pStyle w:val="Footer"/>
              <w:numPr>
                <w:ilvl w:val="0"/>
                <w:numId w:val="3"/>
              </w:numPr>
              <w:tabs>
                <w:tab w:val="clear" w:pos="4513"/>
                <w:tab w:val="clear" w:pos="9026"/>
              </w:tabs>
              <w:spacing w:before="140" w:after="140" w:line="276" w:lineRule="auto"/>
              <w:ind w:left="709" w:hanging="284"/>
              <w:jc w:val="both"/>
              <w:rPr>
                <w:rFonts w:ascii="Calibri" w:hAnsi="Calibri" w:cs="Calibri"/>
                <w:b w:val="0"/>
              </w:rPr>
            </w:pPr>
            <w:r w:rsidRPr="00BF5312">
              <w:rPr>
                <w:rFonts w:ascii="Calibri" w:hAnsi="Calibri" w:cs="Calibri"/>
                <w:b w:val="0"/>
              </w:rPr>
              <w:t>Placing a £1.5</w:t>
            </w:r>
            <w:r w:rsidR="008A6AE4">
              <w:rPr>
                <w:rFonts w:ascii="Calibri" w:hAnsi="Calibri" w:cs="Calibri"/>
                <w:b w:val="0"/>
              </w:rPr>
              <w:t xml:space="preserve"> </w:t>
            </w:r>
            <w:r w:rsidRPr="00BF5312">
              <w:rPr>
                <w:rFonts w:ascii="Calibri" w:hAnsi="Calibri" w:cs="Calibri"/>
                <w:b w:val="0"/>
              </w:rPr>
              <w:t>m</w:t>
            </w:r>
            <w:r w:rsidR="008A6AE4">
              <w:rPr>
                <w:rFonts w:ascii="Calibri" w:hAnsi="Calibri" w:cs="Calibri"/>
                <w:b w:val="0"/>
              </w:rPr>
              <w:t>illion</w:t>
            </w:r>
            <w:r w:rsidRPr="00BF5312">
              <w:rPr>
                <w:rFonts w:ascii="Calibri" w:hAnsi="Calibri" w:cs="Calibri"/>
                <w:b w:val="0"/>
              </w:rPr>
              <w:t xml:space="preserve"> upper limit to target the relief at smaller companies;</w:t>
            </w:r>
          </w:p>
          <w:p w14:paraId="257B1669" w14:textId="77777777" w:rsidR="00E8564A" w:rsidRPr="00BF5312" w:rsidRDefault="00E8564A" w:rsidP="00233725">
            <w:pPr>
              <w:pStyle w:val="Footer"/>
              <w:numPr>
                <w:ilvl w:val="0"/>
                <w:numId w:val="3"/>
              </w:numPr>
              <w:tabs>
                <w:tab w:val="clear" w:pos="4513"/>
                <w:tab w:val="clear" w:pos="9026"/>
              </w:tabs>
              <w:spacing w:before="140" w:after="140" w:line="276" w:lineRule="auto"/>
              <w:ind w:left="709" w:hanging="284"/>
              <w:jc w:val="both"/>
              <w:rPr>
                <w:rFonts w:ascii="Calibri" w:hAnsi="Calibri" w:cs="Calibri"/>
                <w:b w:val="0"/>
              </w:rPr>
            </w:pPr>
            <w:r w:rsidRPr="00BF5312">
              <w:rPr>
                <w:rFonts w:ascii="Calibri" w:hAnsi="Calibri" w:cs="Calibri"/>
                <w:b w:val="0"/>
              </w:rPr>
              <w:t>Enabling the relief to be applied to IPO and secondary fundraisings; and</w:t>
            </w:r>
          </w:p>
          <w:p w14:paraId="7E178D3D" w14:textId="77777777" w:rsidR="009B5396" w:rsidRPr="009B5396" w:rsidRDefault="00E8564A" w:rsidP="00233725">
            <w:pPr>
              <w:pStyle w:val="Footer"/>
              <w:numPr>
                <w:ilvl w:val="0"/>
                <w:numId w:val="3"/>
              </w:numPr>
              <w:tabs>
                <w:tab w:val="clear" w:pos="4513"/>
                <w:tab w:val="clear" w:pos="9026"/>
              </w:tabs>
              <w:spacing w:before="140" w:after="140" w:line="276" w:lineRule="auto"/>
              <w:ind w:left="709" w:hanging="284"/>
              <w:jc w:val="both"/>
              <w:rPr>
                <w:rFonts w:ascii="Calibri" w:hAnsi="Calibri" w:cs="Calibri"/>
                <w:b w:val="0"/>
              </w:rPr>
            </w:pPr>
            <w:r w:rsidRPr="00BF5312">
              <w:rPr>
                <w:rFonts w:ascii="Calibri" w:hAnsi="Calibri" w:cs="Calibri"/>
                <w:b w:val="0"/>
              </w:rPr>
              <w:t>Allowing the tax relief to be available in the year the costs were incurred.</w:t>
            </w:r>
          </w:p>
        </w:tc>
      </w:tr>
      <w:tr w:rsidR="00C4032A" w14:paraId="10FDADF5" w14:textId="77777777" w:rsidTr="00474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1" w:type="dxa"/>
          </w:tcPr>
          <w:p w14:paraId="07317FBA" w14:textId="0440B3D9" w:rsidR="00C4032A" w:rsidRPr="00C4032A" w:rsidRDefault="005E4C25" w:rsidP="00947213">
            <w:pPr>
              <w:pStyle w:val="Footer"/>
              <w:numPr>
                <w:ilvl w:val="0"/>
                <w:numId w:val="20"/>
              </w:numPr>
              <w:tabs>
                <w:tab w:val="clear" w:pos="4513"/>
                <w:tab w:val="clear" w:pos="9026"/>
              </w:tabs>
              <w:spacing w:before="140" w:after="140" w:line="276" w:lineRule="auto"/>
              <w:ind w:left="426" w:hanging="426"/>
              <w:jc w:val="both"/>
              <w:rPr>
                <w:rFonts w:ascii="Calibri" w:eastAsiaTheme="majorEastAsia" w:hAnsi="Calibri" w:cs="Calibri"/>
                <w:b w:val="0"/>
              </w:rPr>
            </w:pPr>
            <w:r w:rsidRPr="00E8564A">
              <w:rPr>
                <w:rFonts w:ascii="Calibri" w:eastAsiaTheme="majorEastAsia" w:hAnsi="Calibri" w:cs="Calibri"/>
              </w:rPr>
              <w:t xml:space="preserve">Allow funds to invest in </w:t>
            </w:r>
            <w:r w:rsidR="00877DD7">
              <w:rPr>
                <w:rFonts w:ascii="Calibri" w:eastAsiaTheme="majorEastAsia" w:hAnsi="Calibri" w:cs="Calibri"/>
              </w:rPr>
              <w:t>unlisted</w:t>
            </w:r>
            <w:r w:rsidR="00877DD7" w:rsidRPr="00E8564A">
              <w:rPr>
                <w:rFonts w:ascii="Calibri" w:eastAsiaTheme="majorEastAsia" w:hAnsi="Calibri" w:cs="Calibri"/>
              </w:rPr>
              <w:t xml:space="preserve"> </w:t>
            </w:r>
            <w:r w:rsidRPr="00E8564A">
              <w:rPr>
                <w:rFonts w:ascii="Calibri" w:eastAsiaTheme="majorEastAsia" w:hAnsi="Calibri" w:cs="Calibri"/>
              </w:rPr>
              <w:t>companies</w:t>
            </w:r>
            <w:r w:rsidR="00877DD7">
              <w:rPr>
                <w:rFonts w:ascii="Calibri" w:eastAsiaTheme="majorEastAsia" w:hAnsi="Calibri" w:cs="Calibri"/>
              </w:rPr>
              <w:t xml:space="preserve">, such as those on AIM and NEX Exchange, </w:t>
            </w:r>
            <w:r w:rsidR="00877DD7" w:rsidRPr="00E8564A">
              <w:rPr>
                <w:rFonts w:ascii="Calibri" w:eastAsiaTheme="majorEastAsia" w:hAnsi="Calibri" w:cs="Calibri"/>
              </w:rPr>
              <w:t>which</w:t>
            </w:r>
            <w:r w:rsidRPr="00E8564A">
              <w:rPr>
                <w:rFonts w:ascii="Calibri" w:eastAsiaTheme="majorEastAsia" w:hAnsi="Calibri" w:cs="Calibri"/>
              </w:rPr>
              <w:t xml:space="preserve"> qualify for </w:t>
            </w:r>
            <w:r w:rsidR="008A6AE4">
              <w:rPr>
                <w:rFonts w:ascii="Calibri" w:eastAsiaTheme="majorEastAsia" w:hAnsi="Calibri" w:cs="Calibri"/>
              </w:rPr>
              <w:t>Business Property Relief</w:t>
            </w:r>
            <w:r w:rsidR="00947213">
              <w:rPr>
                <w:rFonts w:ascii="Calibri" w:eastAsiaTheme="majorEastAsia" w:hAnsi="Calibri" w:cs="Calibri"/>
              </w:rPr>
              <w:t>,</w:t>
            </w:r>
            <w:r w:rsidRPr="00BF5312">
              <w:rPr>
                <w:rFonts w:ascii="Calibri" w:eastAsiaTheme="majorEastAsia" w:hAnsi="Calibri" w:cs="Calibri"/>
                <w:b w:val="0"/>
              </w:rPr>
              <w:t xml:space="preserve"> so that individual investors are able to fully utilise this tax relief, while spreading their investment risk.</w:t>
            </w:r>
          </w:p>
        </w:tc>
      </w:tr>
      <w:tr w:rsidR="00C4032A" w14:paraId="05AEAC1C" w14:textId="77777777" w:rsidTr="00474B86">
        <w:tc>
          <w:tcPr>
            <w:cnfStyle w:val="001000000000" w:firstRow="0" w:lastRow="0" w:firstColumn="1" w:lastColumn="0" w:oddVBand="0" w:evenVBand="0" w:oddHBand="0" w:evenHBand="0" w:firstRowFirstColumn="0" w:firstRowLastColumn="0" w:lastRowFirstColumn="0" w:lastRowLastColumn="0"/>
            <w:tcW w:w="9921" w:type="dxa"/>
          </w:tcPr>
          <w:p w14:paraId="5A83DFBD" w14:textId="77777777" w:rsidR="007F3505" w:rsidRPr="00BF5312" w:rsidRDefault="007F3505" w:rsidP="007F3505">
            <w:pPr>
              <w:pStyle w:val="Footer"/>
              <w:numPr>
                <w:ilvl w:val="0"/>
                <w:numId w:val="20"/>
              </w:numPr>
              <w:tabs>
                <w:tab w:val="clear" w:pos="4513"/>
                <w:tab w:val="clear" w:pos="9026"/>
              </w:tabs>
              <w:spacing w:before="140" w:after="140" w:line="276" w:lineRule="auto"/>
              <w:ind w:left="426" w:hanging="426"/>
              <w:jc w:val="both"/>
              <w:rPr>
                <w:rFonts w:ascii="Calibri" w:eastAsiaTheme="majorEastAsia" w:hAnsi="Calibri" w:cs="Calibri"/>
                <w:b w:val="0"/>
              </w:rPr>
            </w:pPr>
            <w:r w:rsidRPr="00E8564A">
              <w:rPr>
                <w:rFonts w:ascii="Calibri" w:eastAsiaTheme="majorEastAsia" w:hAnsi="Calibri" w:cs="Calibri"/>
              </w:rPr>
              <w:t>Encourage employee share ownership in smaller companies through Company Share Option Plans (CSOPs)</w:t>
            </w:r>
            <w:r w:rsidRPr="00BF5312">
              <w:rPr>
                <w:rFonts w:ascii="Calibri" w:eastAsiaTheme="majorEastAsia" w:hAnsi="Calibri" w:cs="Calibri"/>
                <w:b w:val="0"/>
              </w:rPr>
              <w:t xml:space="preserve"> by:</w:t>
            </w:r>
          </w:p>
          <w:p w14:paraId="102B4695" w14:textId="389EAA3A" w:rsidR="007F3505" w:rsidRPr="00B35528" w:rsidRDefault="00AB22CD" w:rsidP="007F3505">
            <w:pPr>
              <w:pStyle w:val="Footer"/>
              <w:numPr>
                <w:ilvl w:val="0"/>
                <w:numId w:val="15"/>
              </w:numPr>
              <w:tabs>
                <w:tab w:val="clear" w:pos="4513"/>
                <w:tab w:val="clear" w:pos="9026"/>
              </w:tabs>
              <w:spacing w:before="140" w:after="140" w:line="276" w:lineRule="auto"/>
              <w:ind w:left="709" w:hanging="283"/>
              <w:jc w:val="both"/>
              <w:rPr>
                <w:rFonts w:ascii="Calibri" w:eastAsiaTheme="majorEastAsia" w:hAnsi="Calibri" w:cs="Calibri"/>
                <w:b w:val="0"/>
                <w:color w:val="FF0000"/>
              </w:rPr>
            </w:pPr>
            <w:r w:rsidRPr="00B35528">
              <w:rPr>
                <w:rFonts w:ascii="Calibri" w:eastAsiaTheme="majorEastAsia" w:hAnsi="Calibri" w:cs="Calibri"/>
                <w:b w:val="0"/>
                <w:color w:val="FF0000"/>
              </w:rPr>
              <w:t xml:space="preserve">Taxing the difference where the </w:t>
            </w:r>
            <w:r w:rsidR="007F3505" w:rsidRPr="00B35528">
              <w:rPr>
                <w:rFonts w:ascii="Calibri" w:eastAsiaTheme="majorEastAsia" w:hAnsi="Calibri" w:cs="Calibri"/>
                <w:b w:val="0"/>
                <w:color w:val="FF0000"/>
              </w:rPr>
              <w:t>exercise price</w:t>
            </w:r>
            <w:r w:rsidRPr="00B35528">
              <w:rPr>
                <w:rFonts w:ascii="Calibri" w:eastAsiaTheme="majorEastAsia" w:hAnsi="Calibri" w:cs="Calibri"/>
                <w:b w:val="0"/>
                <w:color w:val="FF0000"/>
              </w:rPr>
              <w:t xml:space="preserve"> is discounted from</w:t>
            </w:r>
            <w:r w:rsidR="007F3505" w:rsidRPr="00B35528">
              <w:rPr>
                <w:rFonts w:ascii="Calibri" w:eastAsiaTheme="majorEastAsia" w:hAnsi="Calibri" w:cs="Calibri"/>
                <w:b w:val="0"/>
                <w:color w:val="FF0000"/>
              </w:rPr>
              <w:t xml:space="preserve"> the market value at grant</w:t>
            </w:r>
            <w:r w:rsidRPr="00B35528">
              <w:rPr>
                <w:rFonts w:ascii="Calibri" w:eastAsiaTheme="majorEastAsia" w:hAnsi="Calibri" w:cs="Calibri"/>
                <w:b w:val="0"/>
                <w:color w:val="FF0000"/>
              </w:rPr>
              <w:t>, but allowing the relief up to market value</w:t>
            </w:r>
            <w:r w:rsidR="007F3505" w:rsidRPr="00B35528">
              <w:rPr>
                <w:rFonts w:ascii="Calibri" w:eastAsiaTheme="majorEastAsia" w:hAnsi="Calibri" w:cs="Calibri"/>
                <w:b w:val="0"/>
                <w:color w:val="FF0000"/>
              </w:rPr>
              <w:t>;</w:t>
            </w:r>
          </w:p>
          <w:p w14:paraId="673F6B56" w14:textId="77777777" w:rsidR="007F3505" w:rsidRDefault="007F3505" w:rsidP="007F3505">
            <w:pPr>
              <w:pStyle w:val="Footer"/>
              <w:numPr>
                <w:ilvl w:val="0"/>
                <w:numId w:val="15"/>
              </w:numPr>
              <w:tabs>
                <w:tab w:val="clear" w:pos="4513"/>
                <w:tab w:val="clear" w:pos="9026"/>
              </w:tabs>
              <w:spacing w:before="140" w:after="140" w:line="276" w:lineRule="auto"/>
              <w:ind w:left="709" w:hanging="283"/>
              <w:jc w:val="both"/>
              <w:rPr>
                <w:rFonts w:ascii="Calibri" w:eastAsiaTheme="majorEastAsia" w:hAnsi="Calibri" w:cs="Calibri"/>
                <w:b w:val="0"/>
              </w:rPr>
            </w:pPr>
            <w:r w:rsidRPr="00BF5312">
              <w:rPr>
                <w:rFonts w:ascii="Calibri" w:eastAsiaTheme="majorEastAsia" w:hAnsi="Calibri" w:cs="Calibri"/>
                <w:b w:val="0"/>
              </w:rPr>
              <w:lastRenderedPageBreak/>
              <w:t>Removing the three year holding period before options can be exercised with income tax relief</w:t>
            </w:r>
            <w:r>
              <w:rPr>
                <w:rFonts w:ascii="Calibri" w:eastAsiaTheme="majorEastAsia" w:hAnsi="Calibri" w:cs="Calibri"/>
                <w:b w:val="0"/>
              </w:rPr>
              <w:t>;</w:t>
            </w:r>
            <w:r w:rsidRPr="00BF5312">
              <w:rPr>
                <w:rFonts w:ascii="Calibri" w:eastAsiaTheme="majorEastAsia" w:hAnsi="Calibri" w:cs="Calibri"/>
                <w:b w:val="0"/>
              </w:rPr>
              <w:t xml:space="preserve"> </w:t>
            </w:r>
          </w:p>
          <w:p w14:paraId="0705BEB4" w14:textId="66558651" w:rsidR="007F3505" w:rsidRDefault="007F3505" w:rsidP="007F3505">
            <w:pPr>
              <w:pStyle w:val="Footer"/>
              <w:numPr>
                <w:ilvl w:val="0"/>
                <w:numId w:val="15"/>
              </w:numPr>
              <w:tabs>
                <w:tab w:val="clear" w:pos="4513"/>
                <w:tab w:val="clear" w:pos="9026"/>
              </w:tabs>
              <w:spacing w:before="140" w:after="140" w:line="276" w:lineRule="auto"/>
              <w:ind w:left="709" w:hanging="283"/>
              <w:jc w:val="both"/>
              <w:rPr>
                <w:rFonts w:ascii="Calibri" w:eastAsiaTheme="majorEastAsia" w:hAnsi="Calibri" w:cs="Calibri"/>
                <w:b w:val="0"/>
              </w:rPr>
            </w:pPr>
            <w:r>
              <w:rPr>
                <w:rFonts w:ascii="Calibri" w:eastAsiaTheme="majorEastAsia" w:hAnsi="Calibri" w:cs="Calibri"/>
                <w:b w:val="0"/>
              </w:rPr>
              <w:t>Relax the</w:t>
            </w:r>
            <w:r w:rsidRPr="00BF5312">
              <w:rPr>
                <w:rFonts w:ascii="Calibri" w:eastAsiaTheme="majorEastAsia" w:hAnsi="Calibri" w:cs="Calibri"/>
                <w:b w:val="0"/>
              </w:rPr>
              <w:t xml:space="preserve"> leaver and other early exercise requirements; and</w:t>
            </w:r>
          </w:p>
          <w:p w14:paraId="6F0749FF" w14:textId="0271A78E" w:rsidR="00C4032A" w:rsidRPr="00233725" w:rsidRDefault="007F3505" w:rsidP="007F3505">
            <w:pPr>
              <w:pStyle w:val="Footer"/>
              <w:numPr>
                <w:ilvl w:val="0"/>
                <w:numId w:val="15"/>
              </w:numPr>
              <w:tabs>
                <w:tab w:val="clear" w:pos="4513"/>
                <w:tab w:val="clear" w:pos="9026"/>
              </w:tabs>
              <w:spacing w:before="140" w:after="140" w:line="276" w:lineRule="auto"/>
              <w:ind w:left="709" w:hanging="283"/>
              <w:jc w:val="both"/>
              <w:rPr>
                <w:rFonts w:ascii="Calibri" w:eastAsiaTheme="majorEastAsia" w:hAnsi="Calibri" w:cs="Calibri"/>
                <w:b w:val="0"/>
              </w:rPr>
            </w:pPr>
            <w:r>
              <w:rPr>
                <w:rFonts w:ascii="Calibri" w:eastAsiaTheme="majorEastAsia" w:hAnsi="Calibri" w:cs="Calibri"/>
                <w:b w:val="0"/>
              </w:rPr>
              <w:t xml:space="preserve">Increase the </w:t>
            </w:r>
            <w:r w:rsidRPr="00233725">
              <w:rPr>
                <w:rFonts w:ascii="Calibri" w:eastAsiaTheme="majorEastAsia" w:hAnsi="Calibri" w:cs="Calibri"/>
                <w:b w:val="0"/>
              </w:rPr>
              <w:t>£30,000 limit.</w:t>
            </w:r>
          </w:p>
        </w:tc>
      </w:tr>
      <w:tr w:rsidR="00E8564A" w14:paraId="2F5CC684" w14:textId="77777777" w:rsidTr="00474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1" w:type="dxa"/>
          </w:tcPr>
          <w:p w14:paraId="190D5403" w14:textId="5B1A0E24" w:rsidR="00E8564A" w:rsidRPr="00BF5312" w:rsidRDefault="005E4C25" w:rsidP="00AB22CD">
            <w:pPr>
              <w:pStyle w:val="Footer"/>
              <w:numPr>
                <w:ilvl w:val="0"/>
                <w:numId w:val="20"/>
              </w:numPr>
              <w:tabs>
                <w:tab w:val="clear" w:pos="4513"/>
                <w:tab w:val="clear" w:pos="9026"/>
              </w:tabs>
              <w:spacing w:before="140" w:after="140" w:line="276" w:lineRule="auto"/>
              <w:ind w:left="426" w:hanging="426"/>
              <w:jc w:val="both"/>
              <w:rPr>
                <w:rFonts w:ascii="Calibri" w:eastAsiaTheme="majorEastAsia" w:hAnsi="Calibri" w:cs="Calibri"/>
                <w:b w:val="0"/>
              </w:rPr>
            </w:pPr>
            <w:r w:rsidRPr="009862AE">
              <w:rPr>
                <w:lang w:val="en"/>
              </w:rPr>
              <w:lastRenderedPageBreak/>
              <w:t>Permi</w:t>
            </w:r>
            <w:r>
              <w:rPr>
                <w:lang w:val="en"/>
              </w:rPr>
              <w:t>t</w:t>
            </w:r>
            <w:r w:rsidRPr="009862AE">
              <w:rPr>
                <w:lang w:val="en"/>
              </w:rPr>
              <w:t xml:space="preserve"> non-executive</w:t>
            </w:r>
            <w:r>
              <w:rPr>
                <w:lang w:val="en"/>
              </w:rPr>
              <w:t xml:space="preserve"> director</w:t>
            </w:r>
            <w:r w:rsidRPr="009862AE">
              <w:rPr>
                <w:lang w:val="en"/>
              </w:rPr>
              <w:t xml:space="preserve">s taking shares as part of their remuneration to </w:t>
            </w:r>
            <w:r w:rsidR="00AB22CD" w:rsidRPr="00B35528">
              <w:rPr>
                <w:color w:val="FF0000"/>
                <w:lang w:val="en"/>
              </w:rPr>
              <w:t xml:space="preserve">defer </w:t>
            </w:r>
            <w:r w:rsidRPr="009862AE">
              <w:rPr>
                <w:lang w:val="en"/>
              </w:rPr>
              <w:t xml:space="preserve">income tax </w:t>
            </w:r>
            <w:r w:rsidR="00AB22CD" w:rsidRPr="00B35528">
              <w:rPr>
                <w:color w:val="FF0000"/>
                <w:lang w:val="en"/>
              </w:rPr>
              <w:t xml:space="preserve">until </w:t>
            </w:r>
            <w:r w:rsidRPr="009862AE">
              <w:rPr>
                <w:lang w:val="en"/>
              </w:rPr>
              <w:t>the sale of the shares</w:t>
            </w:r>
            <w:r w:rsidRPr="009862AE">
              <w:rPr>
                <w:b w:val="0"/>
                <w:lang w:val="en"/>
              </w:rPr>
              <w:t>.</w:t>
            </w:r>
          </w:p>
        </w:tc>
      </w:tr>
      <w:tr w:rsidR="00E8564A" w14:paraId="15067A19" w14:textId="77777777" w:rsidTr="00474B86">
        <w:tc>
          <w:tcPr>
            <w:cnfStyle w:val="001000000000" w:firstRow="0" w:lastRow="0" w:firstColumn="1" w:lastColumn="0" w:oddVBand="0" w:evenVBand="0" w:oddHBand="0" w:evenHBand="0" w:firstRowFirstColumn="0" w:firstRowLastColumn="0" w:lastRowFirstColumn="0" w:lastRowLastColumn="0"/>
            <w:tcW w:w="9921" w:type="dxa"/>
          </w:tcPr>
          <w:p w14:paraId="7FF5D557" w14:textId="7F17FDB3" w:rsidR="00E8564A" w:rsidRPr="00E8564A" w:rsidRDefault="00E8564A" w:rsidP="00CA4F10">
            <w:pPr>
              <w:pStyle w:val="Footer"/>
              <w:numPr>
                <w:ilvl w:val="0"/>
                <w:numId w:val="34"/>
              </w:numPr>
              <w:tabs>
                <w:tab w:val="clear" w:pos="4513"/>
                <w:tab w:val="clear" w:pos="9026"/>
              </w:tabs>
              <w:spacing w:before="140" w:after="140" w:line="276" w:lineRule="auto"/>
              <w:jc w:val="both"/>
              <w:rPr>
                <w:rFonts w:ascii="Calibri" w:eastAsiaTheme="majorEastAsia" w:hAnsi="Calibri" w:cs="Calibri"/>
              </w:rPr>
            </w:pPr>
            <w:r w:rsidRPr="00E8564A">
              <w:rPr>
                <w:rFonts w:ascii="Calibri" w:eastAsiaTheme="majorEastAsia" w:hAnsi="Calibri" w:cs="Calibri"/>
              </w:rPr>
              <w:t>Exempt or zero-rate from VAT any small-cap</w:t>
            </w:r>
            <w:r w:rsidR="009B5396">
              <w:rPr>
                <w:rFonts w:ascii="Calibri" w:eastAsiaTheme="majorEastAsia" w:hAnsi="Calibri" w:cs="Calibri"/>
              </w:rPr>
              <w:t xml:space="preserve"> investment</w:t>
            </w:r>
            <w:r w:rsidRPr="00E8564A">
              <w:rPr>
                <w:rFonts w:ascii="Calibri" w:eastAsiaTheme="majorEastAsia" w:hAnsi="Calibri" w:cs="Calibri"/>
              </w:rPr>
              <w:t xml:space="preserve"> research that has been paid for by an institution to a broker.</w:t>
            </w:r>
          </w:p>
        </w:tc>
      </w:tr>
    </w:tbl>
    <w:p w14:paraId="47B4D67F" w14:textId="77777777" w:rsidR="00F14167" w:rsidRPr="00AB459A" w:rsidRDefault="00F14167" w:rsidP="00AB459A">
      <w:pPr>
        <w:spacing w:after="0"/>
        <w:jc w:val="both"/>
        <w:rPr>
          <w:rFonts w:ascii="Calibri" w:hAnsi="Calibri"/>
          <w:sz w:val="24"/>
        </w:rPr>
      </w:pPr>
    </w:p>
    <w:p w14:paraId="30497DF8" w14:textId="77777777" w:rsidR="002003EA" w:rsidRPr="003B1FFE" w:rsidRDefault="002003EA" w:rsidP="003B1FFE">
      <w:pPr>
        <w:pStyle w:val="ListParagraph"/>
        <w:numPr>
          <w:ilvl w:val="0"/>
          <w:numId w:val="2"/>
        </w:numPr>
        <w:ind w:left="426" w:hanging="426"/>
        <w:contextualSpacing w:val="0"/>
        <w:jc w:val="both"/>
        <w:rPr>
          <w:rFonts w:ascii="Calibri" w:hAnsi="Calibri"/>
          <w:b/>
          <w:i/>
          <w:sz w:val="24"/>
          <w:u w:val="single"/>
        </w:rPr>
      </w:pPr>
      <w:r w:rsidRPr="003B1FFE">
        <w:rPr>
          <w:rFonts w:ascii="Calibri" w:hAnsi="Calibri"/>
          <w:b/>
          <w:i/>
          <w:sz w:val="24"/>
          <w:u w:val="single"/>
        </w:rPr>
        <w:t>Simple</w:t>
      </w:r>
    </w:p>
    <w:p w14:paraId="0E725CE7" w14:textId="3F75D423" w:rsidR="002003EA" w:rsidRPr="005B3224" w:rsidRDefault="002003EA" w:rsidP="002003EA">
      <w:pPr>
        <w:jc w:val="both"/>
        <w:rPr>
          <w:rFonts w:ascii="Calibri" w:hAnsi="Calibri"/>
        </w:rPr>
      </w:pPr>
      <w:r w:rsidRPr="005B3224">
        <w:rPr>
          <w:rFonts w:ascii="Calibri" w:hAnsi="Calibri"/>
        </w:rPr>
        <w:t xml:space="preserve">The UK has one of the world’s most complex tax systems. </w:t>
      </w:r>
      <w:r>
        <w:rPr>
          <w:rFonts w:ascii="Calibri" w:hAnsi="Calibri"/>
        </w:rPr>
        <w:t xml:space="preserve">New </w:t>
      </w:r>
      <w:r w:rsidRPr="005B3224">
        <w:rPr>
          <w:rFonts w:ascii="Calibri" w:hAnsi="Calibri"/>
        </w:rPr>
        <w:t>tax legislation</w:t>
      </w:r>
      <w:r>
        <w:rPr>
          <w:rFonts w:ascii="Calibri" w:hAnsi="Calibri"/>
        </w:rPr>
        <w:t xml:space="preserve"> </w:t>
      </w:r>
      <w:r w:rsidRPr="005B3224">
        <w:rPr>
          <w:rFonts w:ascii="Calibri" w:hAnsi="Calibri"/>
        </w:rPr>
        <w:t xml:space="preserve">continues </w:t>
      </w:r>
      <w:r>
        <w:rPr>
          <w:rFonts w:ascii="Calibri" w:hAnsi="Calibri"/>
        </w:rPr>
        <w:t>to add</w:t>
      </w:r>
      <w:r w:rsidRPr="005B3224">
        <w:rPr>
          <w:rFonts w:ascii="Calibri" w:hAnsi="Calibri"/>
        </w:rPr>
        <w:t xml:space="preserve"> length and complexity</w:t>
      </w:r>
      <w:r>
        <w:rPr>
          <w:rFonts w:ascii="Calibri" w:hAnsi="Calibri"/>
        </w:rPr>
        <w:t xml:space="preserve"> to the existing framework</w:t>
      </w:r>
      <w:r w:rsidR="001E4DAE">
        <w:rPr>
          <w:rFonts w:ascii="Calibri" w:hAnsi="Calibri"/>
        </w:rPr>
        <w:t>, which can be particularly onerous for smaller companies</w:t>
      </w:r>
      <w:r>
        <w:rPr>
          <w:rFonts w:ascii="Calibri" w:hAnsi="Calibri"/>
        </w:rPr>
        <w:t>. Additional rules raise</w:t>
      </w:r>
      <w:r w:rsidRPr="005B3224">
        <w:rPr>
          <w:rFonts w:ascii="Calibri" w:hAnsi="Calibri"/>
        </w:rPr>
        <w:t xml:space="preserve"> the cost of compliance for the smallest companies and </w:t>
      </w:r>
      <w:r>
        <w:rPr>
          <w:rFonts w:ascii="Calibri" w:hAnsi="Calibri"/>
        </w:rPr>
        <w:t xml:space="preserve">create a barrier to them building their business and generating growth. </w:t>
      </w:r>
    </w:p>
    <w:p w14:paraId="5462BA2C" w14:textId="77777777" w:rsidR="002003EA" w:rsidRPr="005B3224" w:rsidRDefault="002003EA" w:rsidP="002003EA">
      <w:pPr>
        <w:jc w:val="both"/>
        <w:rPr>
          <w:rFonts w:ascii="Calibri" w:hAnsi="Calibri"/>
        </w:rPr>
      </w:pPr>
      <w:r w:rsidRPr="005B3224">
        <w:rPr>
          <w:rFonts w:ascii="Calibri" w:hAnsi="Calibri"/>
        </w:rPr>
        <w:t xml:space="preserve">We call on the </w:t>
      </w:r>
      <w:r w:rsidR="000B5F7B">
        <w:rPr>
          <w:rFonts w:ascii="Calibri" w:hAnsi="Calibri"/>
        </w:rPr>
        <w:t>g</w:t>
      </w:r>
      <w:r w:rsidRPr="005B3224">
        <w:rPr>
          <w:rFonts w:ascii="Calibri" w:hAnsi="Calibri"/>
        </w:rPr>
        <w:t>overnment to:</w:t>
      </w:r>
    </w:p>
    <w:tbl>
      <w:tblPr>
        <w:tblStyle w:val="MediumGrid1-Accent2"/>
        <w:tblW w:w="0" w:type="auto"/>
        <w:tblLook w:val="04A0" w:firstRow="1" w:lastRow="0" w:firstColumn="1" w:lastColumn="0" w:noHBand="0" w:noVBand="1"/>
      </w:tblPr>
      <w:tblGrid>
        <w:gridCol w:w="9618"/>
      </w:tblGrid>
      <w:tr w:rsidR="00DB161F" w14:paraId="7509355B" w14:textId="77777777" w:rsidTr="00F141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18" w:type="dxa"/>
          </w:tcPr>
          <w:p w14:paraId="05EE21BD" w14:textId="74AAB434" w:rsidR="00DB161F" w:rsidRDefault="00DB161F" w:rsidP="00233725">
            <w:pPr>
              <w:pStyle w:val="ListParagraph"/>
              <w:numPr>
                <w:ilvl w:val="0"/>
                <w:numId w:val="16"/>
              </w:numPr>
              <w:spacing w:before="140" w:after="140"/>
              <w:ind w:left="284" w:hanging="284"/>
              <w:contextualSpacing w:val="0"/>
              <w:jc w:val="both"/>
              <w:rPr>
                <w:rFonts w:ascii="Calibri" w:hAnsi="Calibri" w:cs="Calibri"/>
              </w:rPr>
            </w:pPr>
            <w:r>
              <w:rPr>
                <w:rFonts w:ascii="Calibri" w:hAnsi="Calibri" w:cs="Calibri"/>
              </w:rPr>
              <w:t>Strengthen the Office of Tax Simplification (OTS) by:</w:t>
            </w:r>
          </w:p>
          <w:p w14:paraId="2FEFAD17" w14:textId="65C8D192" w:rsidR="00DB161F" w:rsidRPr="00DB161F" w:rsidRDefault="00DB161F" w:rsidP="00233725">
            <w:pPr>
              <w:pStyle w:val="ListParagraph"/>
              <w:numPr>
                <w:ilvl w:val="0"/>
                <w:numId w:val="31"/>
              </w:numPr>
              <w:spacing w:before="140" w:after="140"/>
              <w:ind w:left="709" w:hanging="284"/>
              <w:contextualSpacing w:val="0"/>
              <w:jc w:val="both"/>
              <w:rPr>
                <w:rFonts w:ascii="Calibri" w:hAnsi="Calibri" w:cs="Calibri"/>
                <w:b w:val="0"/>
              </w:rPr>
            </w:pPr>
            <w:r w:rsidRPr="00DB161F">
              <w:rPr>
                <w:rFonts w:ascii="Calibri" w:hAnsi="Calibri" w:cs="Calibri"/>
                <w:b w:val="0"/>
              </w:rPr>
              <w:t>Increasing its resources so that it can play a more active role in assessing the impact of government policy on the simplicity of the taxation system.</w:t>
            </w:r>
          </w:p>
          <w:p w14:paraId="48B2210C" w14:textId="4EDA586F" w:rsidR="00DB161F" w:rsidRPr="00DB161F" w:rsidRDefault="00DB161F" w:rsidP="00233725">
            <w:pPr>
              <w:pStyle w:val="ListParagraph"/>
              <w:numPr>
                <w:ilvl w:val="0"/>
                <w:numId w:val="31"/>
              </w:numPr>
              <w:spacing w:before="140" w:after="140"/>
              <w:ind w:left="709" w:hanging="284"/>
              <w:contextualSpacing w:val="0"/>
              <w:jc w:val="both"/>
              <w:rPr>
                <w:rFonts w:ascii="Calibri" w:hAnsi="Calibri" w:cs="Calibri"/>
                <w:b w:val="0"/>
              </w:rPr>
            </w:pPr>
            <w:r w:rsidRPr="00DB161F">
              <w:rPr>
                <w:rFonts w:ascii="Calibri" w:hAnsi="Calibri" w:cs="Calibri"/>
                <w:b w:val="0"/>
              </w:rPr>
              <w:t>Establishing a formal relationship between the OTS and Parliament (</w:t>
            </w:r>
            <w:r w:rsidR="005E4C25">
              <w:rPr>
                <w:rFonts w:ascii="Calibri" w:hAnsi="Calibri" w:cs="Calibri"/>
                <w:b w:val="0"/>
              </w:rPr>
              <w:t xml:space="preserve">perhaps </w:t>
            </w:r>
            <w:r w:rsidRPr="00DB161F">
              <w:rPr>
                <w:rFonts w:ascii="Calibri" w:hAnsi="Calibri" w:cs="Calibri"/>
                <w:b w:val="0"/>
              </w:rPr>
              <w:t>through a Committee), so that Parliament is able to better scrutinise the formulation and implementation of tax policy.</w:t>
            </w:r>
          </w:p>
          <w:p w14:paraId="7A5048E3" w14:textId="2C405FAE" w:rsidR="00DB161F" w:rsidRPr="00E8564A" w:rsidRDefault="006708B7" w:rsidP="00233725">
            <w:pPr>
              <w:pStyle w:val="ListParagraph"/>
              <w:numPr>
                <w:ilvl w:val="0"/>
                <w:numId w:val="31"/>
              </w:numPr>
              <w:spacing w:before="140" w:after="140"/>
              <w:ind w:left="709" w:hanging="284"/>
              <w:contextualSpacing w:val="0"/>
              <w:jc w:val="both"/>
              <w:rPr>
                <w:rFonts w:ascii="Calibri" w:hAnsi="Calibri" w:cs="Calibri"/>
              </w:rPr>
            </w:pPr>
            <w:r>
              <w:rPr>
                <w:rFonts w:ascii="Calibri" w:hAnsi="Calibri" w:cs="Calibri"/>
                <w:b w:val="0"/>
              </w:rPr>
              <w:t>Review how the OTS could support tax policy formulation to ensure that simplification is at the heart of the policymaking process.</w:t>
            </w:r>
          </w:p>
        </w:tc>
      </w:tr>
      <w:tr w:rsidR="00DB161F" w14:paraId="0C0F544D" w14:textId="77777777" w:rsidTr="00F141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18" w:type="dxa"/>
          </w:tcPr>
          <w:p w14:paraId="2282B966" w14:textId="46B19F04" w:rsidR="00DB161F" w:rsidRPr="00E8564A" w:rsidRDefault="00DB161F" w:rsidP="00947213">
            <w:pPr>
              <w:pStyle w:val="ListParagraph"/>
              <w:numPr>
                <w:ilvl w:val="0"/>
                <w:numId w:val="16"/>
              </w:numPr>
              <w:spacing w:before="140" w:after="140"/>
              <w:ind w:left="284" w:hanging="284"/>
              <w:contextualSpacing w:val="0"/>
              <w:jc w:val="both"/>
              <w:rPr>
                <w:rFonts w:ascii="Calibri" w:hAnsi="Calibri" w:cs="Calibri"/>
              </w:rPr>
            </w:pPr>
            <w:r>
              <w:rPr>
                <w:rFonts w:ascii="Calibri" w:hAnsi="Calibri" w:cs="Calibri"/>
              </w:rPr>
              <w:t xml:space="preserve">Introduce a Tax Gateway which would allow small and mid-size quoted </w:t>
            </w:r>
            <w:r w:rsidR="008A6AE4">
              <w:rPr>
                <w:rFonts w:ascii="Calibri" w:hAnsi="Calibri" w:cs="Calibri"/>
              </w:rPr>
              <w:t xml:space="preserve">groups </w:t>
            </w:r>
            <w:r>
              <w:rPr>
                <w:rFonts w:ascii="Calibri" w:hAnsi="Calibri" w:cs="Calibri"/>
              </w:rPr>
              <w:t>with a turnover of less than £200 million to be exempt from certain, burdensome reporting requirements.</w:t>
            </w:r>
          </w:p>
        </w:tc>
      </w:tr>
      <w:tr w:rsidR="00E8564A" w14:paraId="5856508A" w14:textId="77777777" w:rsidTr="00F14167">
        <w:tc>
          <w:tcPr>
            <w:cnfStyle w:val="001000000000" w:firstRow="0" w:lastRow="0" w:firstColumn="1" w:lastColumn="0" w:oddVBand="0" w:evenVBand="0" w:oddHBand="0" w:evenHBand="0" w:firstRowFirstColumn="0" w:firstRowLastColumn="0" w:lastRowFirstColumn="0" w:lastRowLastColumn="0"/>
            <w:tcW w:w="9618" w:type="dxa"/>
          </w:tcPr>
          <w:p w14:paraId="36543A88" w14:textId="4B64D2F2" w:rsidR="00E8564A" w:rsidRPr="00E8564A" w:rsidRDefault="00E8564A" w:rsidP="00233725">
            <w:pPr>
              <w:pStyle w:val="ListParagraph"/>
              <w:numPr>
                <w:ilvl w:val="0"/>
                <w:numId w:val="16"/>
              </w:numPr>
              <w:spacing w:before="140" w:after="140" w:line="276" w:lineRule="auto"/>
              <w:ind w:left="284" w:hanging="284"/>
              <w:contextualSpacing w:val="0"/>
              <w:jc w:val="both"/>
              <w:rPr>
                <w:rFonts w:ascii="Calibri" w:hAnsi="Calibri" w:cs="Calibri"/>
              </w:rPr>
            </w:pPr>
            <w:r w:rsidRPr="00E8564A">
              <w:rPr>
                <w:rFonts w:ascii="Calibri" w:hAnsi="Calibri" w:cs="Calibri"/>
              </w:rPr>
              <w:t xml:space="preserve">Allow agents to register and </w:t>
            </w:r>
            <w:r w:rsidR="00BA4D98">
              <w:rPr>
                <w:rFonts w:ascii="Calibri" w:hAnsi="Calibri" w:cs="Calibri"/>
              </w:rPr>
              <w:t>de-register companies’</w:t>
            </w:r>
            <w:r w:rsidRPr="00E8564A">
              <w:rPr>
                <w:rFonts w:ascii="Calibri" w:hAnsi="Calibri" w:cs="Calibri"/>
              </w:rPr>
              <w:t xml:space="preserve"> employee share plans.</w:t>
            </w:r>
          </w:p>
        </w:tc>
      </w:tr>
      <w:tr w:rsidR="00DB161F" w14:paraId="0DBA4C84" w14:textId="77777777" w:rsidTr="00F141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18" w:type="dxa"/>
          </w:tcPr>
          <w:p w14:paraId="1714A2E8" w14:textId="161B93DD" w:rsidR="00DB161F" w:rsidRPr="00E8564A" w:rsidRDefault="00DB161F" w:rsidP="00233725">
            <w:pPr>
              <w:pStyle w:val="ListParagraph"/>
              <w:numPr>
                <w:ilvl w:val="0"/>
                <w:numId w:val="16"/>
              </w:numPr>
              <w:spacing w:before="140" w:after="140"/>
              <w:ind w:left="284" w:hanging="284"/>
              <w:contextualSpacing w:val="0"/>
              <w:jc w:val="both"/>
              <w:rPr>
                <w:rFonts w:ascii="Calibri" w:hAnsi="Calibri" w:cs="Calibri"/>
              </w:rPr>
            </w:pPr>
            <w:r>
              <w:rPr>
                <w:rFonts w:ascii="Calibri" w:hAnsi="Calibri" w:cs="Calibri"/>
              </w:rPr>
              <w:t xml:space="preserve">Remove the requirement to obtain HMRC approval of the form of </w:t>
            </w:r>
            <w:r w:rsidR="00AB22CD" w:rsidRPr="0007307F">
              <w:rPr>
                <w:rFonts w:ascii="Calibri" w:hAnsi="Calibri" w:cs="Calibri"/>
                <w:color w:val="FF0000"/>
              </w:rPr>
              <w:t xml:space="preserve">HMRC standard </w:t>
            </w:r>
            <w:r>
              <w:rPr>
                <w:rFonts w:ascii="Calibri" w:hAnsi="Calibri" w:cs="Calibri"/>
              </w:rPr>
              <w:t>joint NIC elections used for employee share schemes.</w:t>
            </w:r>
          </w:p>
        </w:tc>
      </w:tr>
      <w:tr w:rsidR="00E8564A" w14:paraId="39B9E987" w14:textId="77777777" w:rsidTr="00F14167">
        <w:tc>
          <w:tcPr>
            <w:cnfStyle w:val="001000000000" w:firstRow="0" w:lastRow="0" w:firstColumn="1" w:lastColumn="0" w:oddVBand="0" w:evenVBand="0" w:oddHBand="0" w:evenHBand="0" w:firstRowFirstColumn="0" w:firstRowLastColumn="0" w:lastRowFirstColumn="0" w:lastRowLastColumn="0"/>
            <w:tcW w:w="9618" w:type="dxa"/>
          </w:tcPr>
          <w:p w14:paraId="025CB5DF" w14:textId="77777777" w:rsidR="00E8564A" w:rsidRPr="00E8564A" w:rsidRDefault="00E8564A" w:rsidP="00233725">
            <w:pPr>
              <w:pStyle w:val="ListParagraph"/>
              <w:numPr>
                <w:ilvl w:val="0"/>
                <w:numId w:val="16"/>
              </w:numPr>
              <w:spacing w:before="140" w:after="140" w:line="276" w:lineRule="auto"/>
              <w:ind w:left="284" w:hanging="284"/>
              <w:contextualSpacing w:val="0"/>
              <w:jc w:val="both"/>
              <w:rPr>
                <w:rFonts w:ascii="Calibri" w:hAnsi="Calibri" w:cs="Calibri"/>
              </w:rPr>
            </w:pPr>
            <w:r w:rsidRPr="00E8564A">
              <w:rPr>
                <w:rFonts w:ascii="Calibri" w:hAnsi="Calibri" w:cs="Calibri"/>
              </w:rPr>
              <w:t>Introduce new rules to allow UK persons to make interest payments gross or at treaty rates where the person reasonably believes, at the time the payment is made, that the payee is entitled to relief in respect of the payment under double taxation arrangements.</w:t>
            </w:r>
          </w:p>
        </w:tc>
      </w:tr>
    </w:tbl>
    <w:p w14:paraId="2C9EDBA2" w14:textId="77777777" w:rsidR="00AB22CD" w:rsidRDefault="00AB22CD" w:rsidP="00180EA0">
      <w:pPr>
        <w:spacing w:after="0"/>
        <w:jc w:val="both"/>
        <w:rPr>
          <w:rFonts w:ascii="Calibri" w:hAnsi="Calibri"/>
          <w:sz w:val="24"/>
        </w:rPr>
      </w:pPr>
    </w:p>
    <w:p w14:paraId="26C0C6A1" w14:textId="77777777" w:rsidR="002003EA" w:rsidRPr="003D2248" w:rsidRDefault="002003EA" w:rsidP="002003EA">
      <w:pPr>
        <w:pStyle w:val="ListParagraph"/>
        <w:numPr>
          <w:ilvl w:val="0"/>
          <w:numId w:val="2"/>
        </w:numPr>
        <w:ind w:left="426" w:hanging="426"/>
        <w:contextualSpacing w:val="0"/>
        <w:jc w:val="both"/>
        <w:rPr>
          <w:rFonts w:ascii="Calibri" w:hAnsi="Calibri"/>
          <w:b/>
          <w:i/>
          <w:sz w:val="24"/>
          <w:u w:val="single"/>
        </w:rPr>
      </w:pPr>
      <w:r w:rsidRPr="003D2248">
        <w:rPr>
          <w:rFonts w:ascii="Calibri" w:hAnsi="Calibri"/>
          <w:b/>
          <w:i/>
          <w:sz w:val="24"/>
          <w:u w:val="single"/>
        </w:rPr>
        <w:t>Certain</w:t>
      </w:r>
    </w:p>
    <w:p w14:paraId="4C90DB70" w14:textId="77777777" w:rsidR="002003EA" w:rsidRPr="005B3224" w:rsidRDefault="002003EA" w:rsidP="002003EA">
      <w:pPr>
        <w:jc w:val="both"/>
        <w:rPr>
          <w:rFonts w:ascii="Calibri" w:hAnsi="Calibri"/>
        </w:rPr>
      </w:pPr>
      <w:r>
        <w:rPr>
          <w:rFonts w:ascii="Calibri" w:hAnsi="Calibri"/>
        </w:rPr>
        <w:t>For small and mid-size quoted companies</w:t>
      </w:r>
      <w:r w:rsidRPr="005B3224">
        <w:rPr>
          <w:rFonts w:ascii="Calibri" w:hAnsi="Calibri"/>
        </w:rPr>
        <w:t xml:space="preserve"> </w:t>
      </w:r>
      <w:r>
        <w:rPr>
          <w:rFonts w:ascii="Calibri" w:hAnsi="Calibri"/>
        </w:rPr>
        <w:t xml:space="preserve">to effectively </w:t>
      </w:r>
      <w:r w:rsidRPr="005B3224">
        <w:rPr>
          <w:rFonts w:ascii="Calibri" w:hAnsi="Calibri"/>
        </w:rPr>
        <w:t>plan</w:t>
      </w:r>
      <w:r>
        <w:rPr>
          <w:rFonts w:ascii="Calibri" w:hAnsi="Calibri"/>
        </w:rPr>
        <w:t xml:space="preserve"> for</w:t>
      </w:r>
      <w:r w:rsidRPr="005B3224">
        <w:rPr>
          <w:rFonts w:ascii="Calibri" w:hAnsi="Calibri"/>
        </w:rPr>
        <w:t xml:space="preserve"> their</w:t>
      </w:r>
      <w:r>
        <w:rPr>
          <w:rFonts w:ascii="Calibri" w:hAnsi="Calibri"/>
        </w:rPr>
        <w:t xml:space="preserve"> future</w:t>
      </w:r>
      <w:r w:rsidRPr="005B3224">
        <w:rPr>
          <w:rFonts w:ascii="Calibri" w:hAnsi="Calibri"/>
        </w:rPr>
        <w:t xml:space="preserve"> development</w:t>
      </w:r>
      <w:r>
        <w:rPr>
          <w:rFonts w:ascii="Calibri" w:hAnsi="Calibri"/>
        </w:rPr>
        <w:t xml:space="preserve"> with confidence</w:t>
      </w:r>
      <w:r w:rsidRPr="005B3224">
        <w:rPr>
          <w:rFonts w:ascii="Calibri" w:hAnsi="Calibri"/>
        </w:rPr>
        <w:t>,</w:t>
      </w:r>
      <w:r>
        <w:rPr>
          <w:rFonts w:ascii="Calibri" w:hAnsi="Calibri"/>
        </w:rPr>
        <w:t xml:space="preserve"> they</w:t>
      </w:r>
      <w:r w:rsidRPr="005B3224">
        <w:rPr>
          <w:rFonts w:ascii="Calibri" w:hAnsi="Calibri"/>
        </w:rPr>
        <w:t xml:space="preserve"> </w:t>
      </w:r>
      <w:r>
        <w:rPr>
          <w:rFonts w:ascii="Calibri" w:hAnsi="Calibri"/>
        </w:rPr>
        <w:t>require</w:t>
      </w:r>
      <w:r w:rsidRPr="005B3224">
        <w:rPr>
          <w:rFonts w:ascii="Calibri" w:hAnsi="Calibri"/>
        </w:rPr>
        <w:t xml:space="preserve"> a tax system </w:t>
      </w:r>
      <w:r>
        <w:rPr>
          <w:rFonts w:ascii="Calibri" w:hAnsi="Calibri"/>
        </w:rPr>
        <w:t xml:space="preserve">underpinned by certainty. This will give companies the confidence to make long-term investment decisions which will help drive sustained economic growth. </w:t>
      </w:r>
    </w:p>
    <w:p w14:paraId="6C3F466E" w14:textId="77777777" w:rsidR="002003EA" w:rsidRPr="005B3224" w:rsidRDefault="002003EA" w:rsidP="002003EA">
      <w:pPr>
        <w:jc w:val="both"/>
        <w:rPr>
          <w:rFonts w:ascii="Calibri" w:hAnsi="Calibri"/>
        </w:rPr>
      </w:pPr>
      <w:r w:rsidRPr="005B3224">
        <w:rPr>
          <w:rFonts w:ascii="Calibri" w:hAnsi="Calibri"/>
        </w:rPr>
        <w:lastRenderedPageBreak/>
        <w:t xml:space="preserve">We call on the </w:t>
      </w:r>
      <w:r w:rsidR="000B5F7B">
        <w:rPr>
          <w:rFonts w:ascii="Calibri" w:hAnsi="Calibri"/>
        </w:rPr>
        <w:t>g</w:t>
      </w:r>
      <w:r w:rsidRPr="005B3224">
        <w:rPr>
          <w:rFonts w:ascii="Calibri" w:hAnsi="Calibri"/>
        </w:rPr>
        <w:t>overnment to:</w:t>
      </w:r>
    </w:p>
    <w:tbl>
      <w:tblPr>
        <w:tblStyle w:val="MediumGrid1-Accent2"/>
        <w:tblW w:w="0" w:type="auto"/>
        <w:tblLook w:val="04A0" w:firstRow="1" w:lastRow="0" w:firstColumn="1" w:lastColumn="0" w:noHBand="0" w:noVBand="1"/>
      </w:tblPr>
      <w:tblGrid>
        <w:gridCol w:w="9618"/>
      </w:tblGrid>
      <w:tr w:rsidR="00E8564A" w14:paraId="40798271" w14:textId="77777777" w:rsidTr="00474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1" w:type="dxa"/>
          </w:tcPr>
          <w:p w14:paraId="527DD5A2" w14:textId="77777777" w:rsidR="00E8564A" w:rsidRPr="00E8564A" w:rsidRDefault="00E8564A" w:rsidP="00233725">
            <w:pPr>
              <w:pStyle w:val="ListParagraph"/>
              <w:numPr>
                <w:ilvl w:val="0"/>
                <w:numId w:val="17"/>
              </w:numPr>
              <w:spacing w:before="140" w:after="140" w:line="276" w:lineRule="auto"/>
              <w:ind w:left="284" w:hanging="284"/>
              <w:contextualSpacing w:val="0"/>
            </w:pPr>
            <w:r w:rsidRPr="00E8564A">
              <w:rPr>
                <w:rFonts w:ascii="Calibri" w:hAnsi="Calibri"/>
              </w:rPr>
              <w:t>Introduce a bespoke binding ruling process that can consider queries on all aspects of UK tax law.</w:t>
            </w:r>
          </w:p>
        </w:tc>
      </w:tr>
      <w:tr w:rsidR="00E8564A" w14:paraId="30CA30C1" w14:textId="77777777" w:rsidTr="00474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1" w:type="dxa"/>
          </w:tcPr>
          <w:p w14:paraId="108DF3AF" w14:textId="19DA8483" w:rsidR="00E8564A" w:rsidRPr="00E8564A" w:rsidRDefault="00E8564A" w:rsidP="00233725">
            <w:pPr>
              <w:pStyle w:val="ListParagraph"/>
              <w:numPr>
                <w:ilvl w:val="0"/>
                <w:numId w:val="17"/>
              </w:numPr>
              <w:spacing w:before="140" w:after="140" w:line="276" w:lineRule="auto"/>
              <w:ind w:left="284" w:hanging="284"/>
              <w:contextualSpacing w:val="0"/>
            </w:pPr>
            <w:r w:rsidRPr="00E8564A">
              <w:rPr>
                <w:rFonts w:ascii="Calibri" w:hAnsi="Calibri" w:cs="Calibri"/>
              </w:rPr>
              <w:t>Confirm that medium-sized groups are not required to compile contemporaneous evidence to support transfer pricing policies, unless they wish to do so</w:t>
            </w:r>
            <w:r w:rsidR="006313F9">
              <w:rPr>
                <w:rFonts w:ascii="Calibri" w:hAnsi="Calibri" w:cs="Calibri"/>
              </w:rPr>
              <w:t xml:space="preserve"> (if no Tax Gateway is introduced)</w:t>
            </w:r>
            <w:r w:rsidRPr="00E8564A">
              <w:rPr>
                <w:rFonts w:ascii="Calibri" w:hAnsi="Calibri" w:cs="Calibri"/>
              </w:rPr>
              <w:t>.</w:t>
            </w:r>
          </w:p>
        </w:tc>
      </w:tr>
    </w:tbl>
    <w:p w14:paraId="57BD2E15" w14:textId="77777777" w:rsidR="00B362CE" w:rsidRDefault="00B362CE" w:rsidP="00B362CE">
      <w:pPr>
        <w:jc w:val="both"/>
        <w:rPr>
          <w:rFonts w:ascii="Calibri" w:hAnsi="Calibri" w:cs="Calibri"/>
        </w:rPr>
      </w:pPr>
    </w:p>
    <w:p w14:paraId="0F9DD0E5" w14:textId="77777777" w:rsidR="004A0730" w:rsidRDefault="004A0730" w:rsidP="00B362CE">
      <w:pPr>
        <w:jc w:val="both"/>
        <w:rPr>
          <w:rFonts w:ascii="Calibri" w:hAnsi="Calibri" w:cs="Calibri"/>
        </w:rPr>
      </w:pPr>
    </w:p>
    <w:p w14:paraId="34639EEF" w14:textId="77777777" w:rsidR="003B1FFE" w:rsidRDefault="003B1FFE" w:rsidP="00B362CE">
      <w:pPr>
        <w:jc w:val="both"/>
        <w:rPr>
          <w:rFonts w:ascii="Calibri" w:hAnsi="Calibri" w:cs="Calibri"/>
        </w:rPr>
        <w:sectPr w:rsidR="003B1FFE" w:rsidSect="00F27B7A">
          <w:pgSz w:w="11906" w:h="16838"/>
          <w:pgMar w:top="1134" w:right="1134" w:bottom="1134" w:left="1134" w:header="708" w:footer="708" w:gutter="0"/>
          <w:cols w:space="708"/>
          <w:docGrid w:linePitch="360"/>
        </w:sectPr>
      </w:pPr>
    </w:p>
    <w:p w14:paraId="6CD50413" w14:textId="77777777" w:rsidR="00D10877" w:rsidRPr="005A64FF" w:rsidRDefault="00D10877" w:rsidP="00D10877">
      <w:pPr>
        <w:pStyle w:val="Heading1"/>
        <w:numPr>
          <w:ilvl w:val="0"/>
          <w:numId w:val="1"/>
        </w:numPr>
        <w:spacing w:before="0" w:after="200"/>
        <w:ind w:left="567" w:hanging="426"/>
        <w:jc w:val="both"/>
        <w:rPr>
          <w:rFonts w:ascii="Calibri" w:hAnsi="Calibri"/>
          <w:color w:val="auto"/>
          <w:u w:val="single"/>
        </w:rPr>
      </w:pPr>
      <w:bookmarkStart w:id="3" w:name="_Toc19093851"/>
      <w:r w:rsidRPr="005A64FF">
        <w:rPr>
          <w:rFonts w:ascii="Calibri" w:hAnsi="Calibri"/>
          <w:color w:val="auto"/>
          <w:u w:val="single"/>
        </w:rPr>
        <w:lastRenderedPageBreak/>
        <w:t>Creating a competitive tax system</w:t>
      </w:r>
      <w:bookmarkEnd w:id="3"/>
    </w:p>
    <w:p w14:paraId="430A3128" w14:textId="6744AE25" w:rsidR="00D10877" w:rsidRDefault="00624A65" w:rsidP="00D10877">
      <w:pPr>
        <w:jc w:val="both"/>
        <w:rPr>
          <w:rFonts w:ascii="Calibri" w:hAnsi="Calibri"/>
        </w:rPr>
      </w:pPr>
      <w:r>
        <w:rPr>
          <w:rFonts w:ascii="Calibri" w:hAnsi="Calibri"/>
        </w:rPr>
        <w:t>If the UK leaves</w:t>
      </w:r>
      <w:r w:rsidR="00D10877">
        <w:rPr>
          <w:rFonts w:ascii="Calibri" w:hAnsi="Calibri"/>
        </w:rPr>
        <w:t xml:space="preserve"> the European Union</w:t>
      </w:r>
      <w:r>
        <w:rPr>
          <w:rFonts w:ascii="Calibri" w:hAnsi="Calibri"/>
        </w:rPr>
        <w:t>, this</w:t>
      </w:r>
      <w:r w:rsidR="00D10877">
        <w:rPr>
          <w:rFonts w:ascii="Calibri" w:hAnsi="Calibri"/>
        </w:rPr>
        <w:t xml:space="preserve"> will</w:t>
      </w:r>
      <w:r w:rsidR="00621F12">
        <w:rPr>
          <w:rFonts w:ascii="Calibri" w:hAnsi="Calibri"/>
        </w:rPr>
        <w:t xml:space="preserve"> present the UK with </w:t>
      </w:r>
      <w:r w:rsidR="00D10877">
        <w:rPr>
          <w:rFonts w:ascii="Calibri" w:hAnsi="Calibri"/>
        </w:rPr>
        <w:t>unprecedented economic challenges</w:t>
      </w:r>
      <w:r w:rsidR="00FF60DF">
        <w:rPr>
          <w:rFonts w:ascii="Calibri" w:hAnsi="Calibri"/>
        </w:rPr>
        <w:t xml:space="preserve"> and</w:t>
      </w:r>
      <w:r w:rsidR="00702F31">
        <w:rPr>
          <w:rFonts w:ascii="Calibri" w:hAnsi="Calibri"/>
        </w:rPr>
        <w:t>, potentially,</w:t>
      </w:r>
      <w:r w:rsidR="00FF60DF">
        <w:rPr>
          <w:rFonts w:ascii="Calibri" w:hAnsi="Calibri"/>
        </w:rPr>
        <w:t xml:space="preserve"> opportunities</w:t>
      </w:r>
      <w:r w:rsidR="00D10877">
        <w:rPr>
          <w:rFonts w:ascii="Calibri" w:hAnsi="Calibri"/>
        </w:rPr>
        <w:t>.</w:t>
      </w:r>
      <w:r w:rsidR="005E4C25">
        <w:rPr>
          <w:rFonts w:ascii="Calibri" w:hAnsi="Calibri"/>
        </w:rPr>
        <w:t xml:space="preserve"> </w:t>
      </w:r>
      <w:r w:rsidR="00C203B9">
        <w:rPr>
          <w:rFonts w:ascii="Calibri" w:hAnsi="Calibri"/>
        </w:rPr>
        <w:t xml:space="preserve">No longer </w:t>
      </w:r>
      <w:r w:rsidR="00132F28">
        <w:rPr>
          <w:rFonts w:ascii="Calibri" w:hAnsi="Calibri"/>
        </w:rPr>
        <w:t xml:space="preserve">being a member of either </w:t>
      </w:r>
      <w:r w:rsidR="00D10877">
        <w:rPr>
          <w:rFonts w:ascii="Calibri" w:hAnsi="Calibri"/>
        </w:rPr>
        <w:t xml:space="preserve">the Single Market </w:t>
      </w:r>
      <w:r w:rsidR="00132F28">
        <w:rPr>
          <w:rFonts w:ascii="Calibri" w:hAnsi="Calibri"/>
        </w:rPr>
        <w:t>or</w:t>
      </w:r>
      <w:r w:rsidR="00D10877">
        <w:rPr>
          <w:rFonts w:ascii="Calibri" w:hAnsi="Calibri"/>
        </w:rPr>
        <w:t xml:space="preserve"> the Customs Union</w:t>
      </w:r>
      <w:r w:rsidR="00132F28">
        <w:rPr>
          <w:rFonts w:ascii="Calibri" w:hAnsi="Calibri"/>
        </w:rPr>
        <w:t xml:space="preserve"> </w:t>
      </w:r>
      <w:r w:rsidR="00C203B9">
        <w:rPr>
          <w:rFonts w:ascii="Calibri" w:hAnsi="Calibri"/>
        </w:rPr>
        <w:t>will</w:t>
      </w:r>
      <w:r w:rsidR="0059217B">
        <w:rPr>
          <w:rFonts w:ascii="Calibri" w:hAnsi="Calibri"/>
        </w:rPr>
        <w:t xml:space="preserve"> </w:t>
      </w:r>
      <w:r w:rsidR="00132F28">
        <w:rPr>
          <w:rFonts w:ascii="Calibri" w:hAnsi="Calibri"/>
        </w:rPr>
        <w:t xml:space="preserve">mean that </w:t>
      </w:r>
      <w:r w:rsidR="00D10877">
        <w:rPr>
          <w:rFonts w:ascii="Calibri" w:hAnsi="Calibri"/>
        </w:rPr>
        <w:t xml:space="preserve">the government </w:t>
      </w:r>
      <w:r w:rsidR="00132F28">
        <w:rPr>
          <w:rFonts w:ascii="Calibri" w:hAnsi="Calibri"/>
        </w:rPr>
        <w:t xml:space="preserve">will have to </w:t>
      </w:r>
      <w:r w:rsidR="00D10877">
        <w:rPr>
          <w:rFonts w:ascii="Calibri" w:hAnsi="Calibri"/>
        </w:rPr>
        <w:t xml:space="preserve">fully </w:t>
      </w:r>
      <w:r w:rsidR="00BE2D17">
        <w:rPr>
          <w:rFonts w:ascii="Calibri" w:hAnsi="Calibri"/>
        </w:rPr>
        <w:t>maximise</w:t>
      </w:r>
      <w:r w:rsidR="00D10877">
        <w:rPr>
          <w:rFonts w:ascii="Calibri" w:hAnsi="Calibri"/>
        </w:rPr>
        <w:t xml:space="preserve"> the</w:t>
      </w:r>
      <w:r w:rsidR="00BE2D17">
        <w:rPr>
          <w:rFonts w:ascii="Calibri" w:hAnsi="Calibri"/>
        </w:rPr>
        <w:t xml:space="preserve"> effectiveness of the</w:t>
      </w:r>
      <w:r w:rsidR="00D10877">
        <w:rPr>
          <w:rFonts w:ascii="Calibri" w:hAnsi="Calibri"/>
        </w:rPr>
        <w:t xml:space="preserve"> fiscal levers at its disposal to ensure that any subsequent </w:t>
      </w:r>
      <w:r w:rsidR="005E4C25">
        <w:rPr>
          <w:rFonts w:ascii="Calibri" w:hAnsi="Calibri"/>
        </w:rPr>
        <w:t xml:space="preserve">economic </w:t>
      </w:r>
      <w:r w:rsidR="00D10877">
        <w:rPr>
          <w:rFonts w:ascii="Calibri" w:hAnsi="Calibri"/>
        </w:rPr>
        <w:t>turbulence</w:t>
      </w:r>
      <w:r w:rsidR="005E4C25">
        <w:rPr>
          <w:rFonts w:ascii="Calibri" w:hAnsi="Calibri"/>
        </w:rPr>
        <w:t xml:space="preserve"> </w:t>
      </w:r>
      <w:r w:rsidR="00C203B9">
        <w:rPr>
          <w:rFonts w:ascii="Calibri" w:hAnsi="Calibri"/>
        </w:rPr>
        <w:t xml:space="preserve">which </w:t>
      </w:r>
      <w:r w:rsidR="005E4C25">
        <w:rPr>
          <w:rFonts w:ascii="Calibri" w:hAnsi="Calibri"/>
        </w:rPr>
        <w:t>may occur</w:t>
      </w:r>
      <w:r w:rsidR="00D10877">
        <w:rPr>
          <w:rFonts w:ascii="Calibri" w:hAnsi="Calibri"/>
        </w:rPr>
        <w:t xml:space="preserve"> is temporary</w:t>
      </w:r>
      <w:r w:rsidR="005E4C25">
        <w:rPr>
          <w:rFonts w:ascii="Calibri" w:hAnsi="Calibri"/>
        </w:rPr>
        <w:t xml:space="preserve"> and minimal</w:t>
      </w:r>
      <w:r w:rsidR="00D10877">
        <w:rPr>
          <w:rFonts w:ascii="Calibri" w:hAnsi="Calibri"/>
        </w:rPr>
        <w:t>.</w:t>
      </w:r>
    </w:p>
    <w:p w14:paraId="790CA6DE" w14:textId="569344D9" w:rsidR="00D10877" w:rsidRPr="00553213" w:rsidRDefault="00C203B9" w:rsidP="00D10877">
      <w:pPr>
        <w:pStyle w:val="Default"/>
        <w:spacing w:after="200" w:line="276" w:lineRule="auto"/>
        <w:jc w:val="both"/>
        <w:rPr>
          <w:rFonts w:ascii="Calibri" w:hAnsi="Calibri"/>
          <w:sz w:val="22"/>
          <w:szCs w:val="22"/>
        </w:rPr>
      </w:pPr>
      <w:r>
        <w:rPr>
          <w:rFonts w:ascii="Calibri" w:hAnsi="Calibri" w:cs="Calibri"/>
          <w:sz w:val="22"/>
          <w:szCs w:val="22"/>
        </w:rPr>
        <w:t>Indeed</w:t>
      </w:r>
      <w:r w:rsidR="00D10877" w:rsidRPr="00553213">
        <w:rPr>
          <w:rFonts w:ascii="Calibri" w:hAnsi="Calibri" w:cs="Calibri"/>
          <w:sz w:val="22"/>
          <w:szCs w:val="22"/>
        </w:rPr>
        <w:t xml:space="preserve">, we note the </w:t>
      </w:r>
      <w:r w:rsidR="00D10877">
        <w:rPr>
          <w:rFonts w:ascii="Calibri" w:hAnsi="Calibri" w:cs="Calibri"/>
          <w:sz w:val="22"/>
          <w:szCs w:val="22"/>
        </w:rPr>
        <w:t>g</w:t>
      </w:r>
      <w:r w:rsidR="00D10877" w:rsidRPr="00553213">
        <w:rPr>
          <w:rFonts w:ascii="Calibri" w:hAnsi="Calibri" w:cs="Calibri"/>
          <w:sz w:val="22"/>
          <w:szCs w:val="22"/>
        </w:rPr>
        <w:t xml:space="preserve">overnment’s industrial strategy </w:t>
      </w:r>
      <w:r>
        <w:rPr>
          <w:rFonts w:ascii="Calibri" w:hAnsi="Calibri" w:cs="Calibri"/>
          <w:sz w:val="22"/>
          <w:szCs w:val="22"/>
        </w:rPr>
        <w:t>seeks to</w:t>
      </w:r>
      <w:r w:rsidRPr="00553213">
        <w:rPr>
          <w:rFonts w:ascii="Calibri" w:hAnsi="Calibri" w:cs="Calibri"/>
          <w:sz w:val="22"/>
          <w:szCs w:val="22"/>
        </w:rPr>
        <w:t xml:space="preserve"> </w:t>
      </w:r>
      <w:r w:rsidR="00D10877" w:rsidRPr="00553213">
        <w:rPr>
          <w:rFonts w:ascii="Calibri" w:hAnsi="Calibri" w:cs="Calibri"/>
          <w:sz w:val="22"/>
          <w:szCs w:val="22"/>
        </w:rPr>
        <w:t xml:space="preserve">support a strong economy and </w:t>
      </w:r>
      <w:r w:rsidR="00D10877" w:rsidRPr="00127170">
        <w:rPr>
          <w:rFonts w:ascii="Calibri" w:hAnsi="Calibri" w:cs="Calibri"/>
          <w:sz w:val="22"/>
          <w:szCs w:val="22"/>
        </w:rPr>
        <w:t>deliver long-term productivity growth.</w:t>
      </w:r>
      <w:r w:rsidR="00D10877" w:rsidRPr="004E3096">
        <w:rPr>
          <w:rFonts w:ascii="Calibri" w:hAnsi="Calibri" w:cs="Calibri"/>
          <w:sz w:val="22"/>
          <w:szCs w:val="22"/>
        </w:rPr>
        <w:t xml:space="preserve"> </w:t>
      </w:r>
      <w:r w:rsidR="009443D4">
        <w:rPr>
          <w:rFonts w:ascii="Calibri" w:hAnsi="Calibri"/>
          <w:sz w:val="22"/>
          <w:szCs w:val="22"/>
        </w:rPr>
        <w:t>Expanding the portfolio</w:t>
      </w:r>
      <w:r w:rsidR="00D10877" w:rsidRPr="00553213">
        <w:rPr>
          <w:rFonts w:ascii="Calibri" w:hAnsi="Calibri"/>
          <w:sz w:val="22"/>
          <w:szCs w:val="22"/>
        </w:rPr>
        <w:t xml:space="preserve"> of sustainable, long-term funding options available to companies looking to grow </w:t>
      </w:r>
      <w:r w:rsidR="000B1FD0">
        <w:rPr>
          <w:rFonts w:ascii="Calibri" w:hAnsi="Calibri"/>
          <w:sz w:val="22"/>
          <w:szCs w:val="22"/>
        </w:rPr>
        <w:t>is</w:t>
      </w:r>
      <w:r>
        <w:rPr>
          <w:rFonts w:ascii="Calibri" w:hAnsi="Calibri"/>
          <w:sz w:val="22"/>
          <w:szCs w:val="22"/>
        </w:rPr>
        <w:t xml:space="preserve"> therefore</w:t>
      </w:r>
      <w:r w:rsidR="000B1FD0">
        <w:rPr>
          <w:rFonts w:ascii="Calibri" w:hAnsi="Calibri"/>
          <w:sz w:val="22"/>
          <w:szCs w:val="22"/>
        </w:rPr>
        <w:t xml:space="preserve"> essential to increasing</w:t>
      </w:r>
      <w:r w:rsidR="00BE2D17">
        <w:rPr>
          <w:rFonts w:ascii="Calibri" w:hAnsi="Calibri"/>
          <w:sz w:val="22"/>
          <w:szCs w:val="22"/>
        </w:rPr>
        <w:t xml:space="preserve"> the UK</w:t>
      </w:r>
      <w:r w:rsidR="000B1FD0">
        <w:rPr>
          <w:rFonts w:ascii="Calibri" w:hAnsi="Calibri"/>
          <w:sz w:val="22"/>
          <w:szCs w:val="22"/>
        </w:rPr>
        <w:t>’s ability to boosting its</w:t>
      </w:r>
      <w:r w:rsidR="00D10877" w:rsidRPr="00553213">
        <w:rPr>
          <w:rFonts w:ascii="Calibri" w:hAnsi="Calibri"/>
          <w:sz w:val="22"/>
          <w:szCs w:val="22"/>
        </w:rPr>
        <w:t xml:space="preserve"> economic competitiveness post-Brexit.</w:t>
      </w:r>
    </w:p>
    <w:p w14:paraId="113ACD6E" w14:textId="6AC51870" w:rsidR="00D10877" w:rsidRDefault="000B1FD0" w:rsidP="00D10877">
      <w:pPr>
        <w:jc w:val="both"/>
        <w:rPr>
          <w:rFonts w:ascii="Calibri" w:hAnsi="Calibri"/>
        </w:rPr>
      </w:pPr>
      <w:r>
        <w:rPr>
          <w:rFonts w:ascii="Calibri" w:hAnsi="Calibri"/>
        </w:rPr>
        <w:t>T</w:t>
      </w:r>
      <w:r w:rsidR="00D10877">
        <w:rPr>
          <w:rFonts w:ascii="Calibri" w:hAnsi="Calibri"/>
        </w:rPr>
        <w:t xml:space="preserve">he government </w:t>
      </w:r>
      <w:r>
        <w:rPr>
          <w:rFonts w:ascii="Calibri" w:hAnsi="Calibri"/>
        </w:rPr>
        <w:t xml:space="preserve">must </w:t>
      </w:r>
      <w:r w:rsidR="00D10877">
        <w:rPr>
          <w:rFonts w:ascii="Calibri" w:hAnsi="Calibri"/>
        </w:rPr>
        <w:t>build a fiscal framework that rewards long-term thinking</w:t>
      </w:r>
      <w:r w:rsidR="008E52BB">
        <w:rPr>
          <w:rFonts w:ascii="Calibri" w:hAnsi="Calibri"/>
        </w:rPr>
        <w:t xml:space="preserve">; </w:t>
      </w:r>
      <w:r w:rsidR="00C203B9">
        <w:rPr>
          <w:rFonts w:ascii="Calibri" w:hAnsi="Calibri"/>
        </w:rPr>
        <w:t xml:space="preserve">only </w:t>
      </w:r>
      <w:r w:rsidR="00D10877">
        <w:rPr>
          <w:rFonts w:ascii="Calibri" w:hAnsi="Calibri"/>
        </w:rPr>
        <w:t>targeted and decisive action promot</w:t>
      </w:r>
      <w:r w:rsidR="00BE2D17">
        <w:rPr>
          <w:rFonts w:ascii="Calibri" w:hAnsi="Calibri"/>
        </w:rPr>
        <w:t>ing</w:t>
      </w:r>
      <w:r w:rsidR="00D10877">
        <w:rPr>
          <w:rFonts w:ascii="Calibri" w:hAnsi="Calibri"/>
        </w:rPr>
        <w:t xml:space="preserve"> entrepreneurial activity will </w:t>
      </w:r>
      <w:r w:rsidR="00BE2D17">
        <w:rPr>
          <w:rFonts w:ascii="Calibri" w:hAnsi="Calibri"/>
        </w:rPr>
        <w:t>support</w:t>
      </w:r>
      <w:r w:rsidR="00D10877">
        <w:rPr>
          <w:rFonts w:ascii="Calibri" w:hAnsi="Calibri"/>
        </w:rPr>
        <w:t xml:space="preserve"> Britain</w:t>
      </w:r>
      <w:r w:rsidR="00BE2D17">
        <w:rPr>
          <w:rFonts w:ascii="Calibri" w:hAnsi="Calibri"/>
        </w:rPr>
        <w:t>’s</w:t>
      </w:r>
      <w:r w:rsidR="00D10877">
        <w:rPr>
          <w:rFonts w:ascii="Calibri" w:hAnsi="Calibri"/>
        </w:rPr>
        <w:t xml:space="preserve"> strong economic foundation in the years ahead.</w:t>
      </w:r>
      <w:r w:rsidR="00C203B9">
        <w:rPr>
          <w:rFonts w:ascii="Calibri" w:hAnsi="Calibri"/>
        </w:rPr>
        <w:t xml:space="preserve"> </w:t>
      </w:r>
      <w:r w:rsidR="00D10877">
        <w:rPr>
          <w:rFonts w:ascii="Calibri" w:hAnsi="Calibri"/>
        </w:rPr>
        <w:t>Below, we set out our proposals that will allow smaller, growing companies to obtain the funding they need to grow.</w:t>
      </w:r>
    </w:p>
    <w:p w14:paraId="46C6BB70" w14:textId="77777777" w:rsidR="00E612EF" w:rsidRPr="00F978C7" w:rsidRDefault="00E612EF" w:rsidP="00233725">
      <w:pPr>
        <w:pBdr>
          <w:top w:val="single" w:sz="4" w:space="1" w:color="auto"/>
        </w:pBdr>
        <w:spacing w:after="0"/>
        <w:jc w:val="both"/>
        <w:rPr>
          <w:rFonts w:ascii="Calibri" w:hAnsi="Calibri"/>
        </w:rPr>
      </w:pPr>
    </w:p>
    <w:p w14:paraId="17E7B254" w14:textId="77777777" w:rsidR="00D10877" w:rsidRPr="003A6C28" w:rsidRDefault="00BD02DF" w:rsidP="00C4032A">
      <w:pPr>
        <w:pStyle w:val="Heading2"/>
        <w:numPr>
          <w:ilvl w:val="0"/>
          <w:numId w:val="19"/>
        </w:numPr>
        <w:spacing w:before="0" w:after="200"/>
        <w:ind w:left="426" w:hanging="426"/>
        <w:jc w:val="both"/>
        <w:rPr>
          <w:rFonts w:ascii="Calibri" w:hAnsi="Calibri"/>
          <w:color w:val="auto"/>
          <w:sz w:val="24"/>
          <w:szCs w:val="22"/>
        </w:rPr>
      </w:pPr>
      <w:bookmarkStart w:id="4" w:name="_Toc19093852"/>
      <w:r>
        <w:rPr>
          <w:rFonts w:ascii="Calibri" w:hAnsi="Calibri"/>
          <w:color w:val="auto"/>
          <w:sz w:val="24"/>
          <w:szCs w:val="22"/>
        </w:rPr>
        <w:t>Levelling the</w:t>
      </w:r>
      <w:r w:rsidR="00D10877" w:rsidRPr="003A6C28">
        <w:rPr>
          <w:rFonts w:ascii="Calibri" w:hAnsi="Calibri"/>
          <w:color w:val="auto"/>
          <w:sz w:val="24"/>
          <w:szCs w:val="22"/>
        </w:rPr>
        <w:t xml:space="preserve"> playing field between debt and equity</w:t>
      </w:r>
      <w:bookmarkEnd w:id="4"/>
    </w:p>
    <w:p w14:paraId="373486A3" w14:textId="3FB7A4F0" w:rsidR="00C203B9" w:rsidRDefault="00F1227F" w:rsidP="00D10877">
      <w:pPr>
        <w:jc w:val="both"/>
        <w:rPr>
          <w:rFonts w:ascii="Calibri" w:hAnsi="Calibri" w:cs="Calibri"/>
        </w:rPr>
      </w:pPr>
      <w:r w:rsidRPr="00736DE5">
        <w:rPr>
          <w:rFonts w:ascii="Calibri" w:hAnsi="Calibri" w:cs="Calibri"/>
          <w:color w:val="FF0000"/>
        </w:rPr>
        <w:t xml:space="preserve">It is considered that there is a continuing </w:t>
      </w:r>
      <w:r>
        <w:rPr>
          <w:rFonts w:ascii="Calibri" w:hAnsi="Calibri" w:cs="Calibri"/>
        </w:rPr>
        <w:t xml:space="preserve">need to address the preferential treatment of debt over equity as a source of finance for smaller, growing companies. </w:t>
      </w:r>
    </w:p>
    <w:p w14:paraId="2777F325" w14:textId="693CCF42" w:rsidR="00F1227F" w:rsidRDefault="00F1227F" w:rsidP="00D10877">
      <w:pPr>
        <w:jc w:val="both"/>
        <w:rPr>
          <w:rFonts w:ascii="Calibri" w:hAnsi="Calibri" w:cs="Calibri"/>
        </w:rPr>
      </w:pPr>
      <w:r w:rsidRPr="00744036">
        <w:rPr>
          <w:rFonts w:ascii="Calibri" w:hAnsi="Calibri" w:cs="Calibri"/>
          <w:color w:val="FF0000"/>
        </w:rPr>
        <w:t>It is recognise</w:t>
      </w:r>
      <w:r w:rsidR="00736DE5" w:rsidRPr="00744036">
        <w:rPr>
          <w:rFonts w:ascii="Calibri" w:hAnsi="Calibri" w:cs="Calibri"/>
          <w:color w:val="FF0000"/>
        </w:rPr>
        <w:t>d</w:t>
      </w:r>
      <w:r w:rsidRPr="00744036">
        <w:rPr>
          <w:rFonts w:ascii="Calibri" w:hAnsi="Calibri" w:cs="Calibri"/>
          <w:color w:val="FF0000"/>
        </w:rPr>
        <w:t xml:space="preserve"> that in recent years there have been legislative developments which have reduced the extent to which the corporate tax system encourages companies to raise debt finance over equity finance, including, since April 2017, a corporate interest reduction (CIR) regime which disallows interest-like expenses to the extent that the net tax-interest expense for UK companies exceeds the interest capacity</w:t>
      </w:r>
      <w:r>
        <w:rPr>
          <w:rStyle w:val="FootnoteReference"/>
          <w:rFonts w:ascii="Calibri" w:hAnsi="Calibri" w:cs="Calibri"/>
        </w:rPr>
        <w:footnoteReference w:id="4"/>
      </w:r>
      <w:r>
        <w:rPr>
          <w:rFonts w:ascii="Calibri" w:hAnsi="Calibri" w:cs="Calibri"/>
        </w:rPr>
        <w:t>.</w:t>
      </w:r>
    </w:p>
    <w:p w14:paraId="39556EBE" w14:textId="7955C3D7" w:rsidR="00832CBB" w:rsidRPr="00744036" w:rsidRDefault="00832CBB" w:rsidP="00D10877">
      <w:pPr>
        <w:jc w:val="both"/>
        <w:rPr>
          <w:rFonts w:ascii="Calibri" w:hAnsi="Calibri" w:cs="Calibri"/>
          <w:color w:val="FF0000"/>
        </w:rPr>
      </w:pPr>
      <w:r w:rsidRPr="00744036">
        <w:rPr>
          <w:rFonts w:ascii="Calibri" w:hAnsi="Calibri" w:cs="Calibri"/>
          <w:color w:val="FF0000"/>
        </w:rPr>
        <w:t>However, there have been no corporate tax developments which have positively encouraged companies to raise equity finance and there remains a corporate tax advantage in raising debt finance over equity finance.</w:t>
      </w:r>
    </w:p>
    <w:p w14:paraId="6F606A1C" w14:textId="04B87E7E" w:rsidR="00832CBB" w:rsidRDefault="003471C0" w:rsidP="00D10877">
      <w:pPr>
        <w:jc w:val="both"/>
        <w:rPr>
          <w:rFonts w:ascii="Calibri" w:hAnsi="Calibri" w:cs="Calibri"/>
        </w:rPr>
      </w:pPr>
      <w:r w:rsidRPr="00744036">
        <w:rPr>
          <w:rFonts w:ascii="Calibri" w:hAnsi="Calibri" w:cs="Calibri"/>
          <w:color w:val="FF0000"/>
        </w:rPr>
        <w:t>In particular, it is noted that companies can generally claim corporation</w:t>
      </w:r>
      <w:r>
        <w:rPr>
          <w:rFonts w:ascii="Calibri" w:hAnsi="Calibri" w:cs="Calibri"/>
        </w:rPr>
        <w:t xml:space="preserve"> tax relief for costs incurred when raising debt finance but </w:t>
      </w:r>
      <w:r w:rsidRPr="00744036">
        <w:rPr>
          <w:rFonts w:ascii="Calibri" w:hAnsi="Calibri" w:cs="Calibri"/>
          <w:color w:val="FF0000"/>
        </w:rPr>
        <w:t xml:space="preserve">remain </w:t>
      </w:r>
      <w:r>
        <w:rPr>
          <w:rFonts w:ascii="Calibri" w:hAnsi="Calibri" w:cs="Calibri"/>
        </w:rPr>
        <w:t>unable to do so for equity.</w:t>
      </w:r>
    </w:p>
    <w:p w14:paraId="533A7572" w14:textId="379F4568" w:rsidR="003471C0" w:rsidRPr="00744036" w:rsidRDefault="003471C0" w:rsidP="00D10877">
      <w:pPr>
        <w:jc w:val="both"/>
        <w:rPr>
          <w:rFonts w:ascii="Calibri" w:hAnsi="Calibri" w:cs="Calibri"/>
          <w:color w:val="FF0000"/>
        </w:rPr>
      </w:pPr>
      <w:r w:rsidRPr="00744036">
        <w:rPr>
          <w:rFonts w:ascii="Calibri" w:hAnsi="Calibri" w:cs="Calibri"/>
          <w:color w:val="FF0000"/>
        </w:rPr>
        <w:t>As outlined in more detail at point (iii) below, it is considered that the bias against a company obtaining a corporate tax deduction for costs associated with raising equity capital is a remnant of early 20</w:t>
      </w:r>
      <w:r w:rsidRPr="00744036">
        <w:rPr>
          <w:rFonts w:ascii="Calibri" w:hAnsi="Calibri" w:cs="Calibri"/>
          <w:color w:val="FF0000"/>
          <w:vertAlign w:val="superscript"/>
        </w:rPr>
        <w:t>th</w:t>
      </w:r>
      <w:r w:rsidRPr="00744036">
        <w:rPr>
          <w:rFonts w:ascii="Calibri" w:hAnsi="Calibri" w:cs="Calibri"/>
          <w:color w:val="FF0000"/>
        </w:rPr>
        <w:t xml:space="preserve"> century court decisions and is no longer appropriate in the context of the modern commercial environment. </w:t>
      </w:r>
    </w:p>
    <w:p w14:paraId="74366BF0" w14:textId="50D9B1AF" w:rsidR="003471C0" w:rsidRPr="00744036" w:rsidRDefault="003471C0" w:rsidP="00D10877">
      <w:pPr>
        <w:jc w:val="both"/>
        <w:rPr>
          <w:rFonts w:ascii="Calibri" w:hAnsi="Calibri" w:cs="Calibri"/>
          <w:color w:val="FF0000"/>
        </w:rPr>
      </w:pPr>
      <w:r w:rsidRPr="00744036">
        <w:rPr>
          <w:rFonts w:ascii="Calibri" w:hAnsi="Calibri" w:cs="Calibri"/>
          <w:color w:val="FF0000"/>
        </w:rPr>
        <w:t>In addition, it is considered that, in this regard, there is currently a clear distinction between the UK corporate tax system and the VAT system, since VAT case law</w:t>
      </w:r>
      <w:r w:rsidRPr="00744036">
        <w:rPr>
          <w:rStyle w:val="FootnoteReference"/>
          <w:rFonts w:ascii="Calibri" w:hAnsi="Calibri" w:cs="Calibri"/>
          <w:color w:val="FF0000"/>
        </w:rPr>
        <w:footnoteReference w:id="5"/>
      </w:r>
      <w:r w:rsidRPr="00744036">
        <w:rPr>
          <w:rFonts w:ascii="Calibri" w:hAnsi="Calibri" w:cs="Calibri"/>
          <w:color w:val="FF0000"/>
        </w:rPr>
        <w:t xml:space="preserve"> has confirmed that VAT on the costs of raising equity funding is deductible as input tax </w:t>
      </w:r>
      <w:r w:rsidR="004D6A2A">
        <w:rPr>
          <w:rFonts w:ascii="Calibri" w:hAnsi="Calibri" w:cs="Calibri"/>
          <w:color w:val="FF0000"/>
        </w:rPr>
        <w:t>where it relates to taxable supplies made by the company</w:t>
      </w:r>
      <w:r w:rsidRPr="00744036">
        <w:rPr>
          <w:rFonts w:ascii="Calibri" w:hAnsi="Calibri" w:cs="Calibri"/>
          <w:color w:val="FF0000"/>
        </w:rPr>
        <w:t xml:space="preserve">. </w:t>
      </w:r>
    </w:p>
    <w:p w14:paraId="51A45FE2" w14:textId="1FA3BF7C" w:rsidR="003471C0" w:rsidRDefault="003471C0" w:rsidP="00D10877">
      <w:pPr>
        <w:jc w:val="both"/>
        <w:rPr>
          <w:rFonts w:ascii="Calibri" w:hAnsi="Calibri" w:cs="Calibri"/>
        </w:rPr>
      </w:pPr>
      <w:r w:rsidRPr="00744036">
        <w:rPr>
          <w:rFonts w:ascii="Calibri" w:hAnsi="Calibri" w:cs="Calibri"/>
          <w:color w:val="FF0000"/>
        </w:rPr>
        <w:t xml:space="preserve">It is considered that there is no policy reason for there to be an </w:t>
      </w:r>
      <w:r>
        <w:rPr>
          <w:rFonts w:ascii="Calibri" w:hAnsi="Calibri" w:cs="Calibri"/>
        </w:rPr>
        <w:t xml:space="preserve">inconsistency between direct taxation and indirect taxation </w:t>
      </w:r>
      <w:r w:rsidRPr="00744036">
        <w:rPr>
          <w:rFonts w:ascii="Calibri" w:hAnsi="Calibri" w:cs="Calibri"/>
          <w:color w:val="FF0000"/>
        </w:rPr>
        <w:t xml:space="preserve">in this regard, and that this </w:t>
      </w:r>
      <w:r>
        <w:rPr>
          <w:rFonts w:ascii="Calibri" w:hAnsi="Calibri" w:cs="Calibri"/>
        </w:rPr>
        <w:t xml:space="preserve">distortion in the tax system makes it more costly for smaller companies to raise the permanent capital they need to facilitate their growth. </w:t>
      </w:r>
    </w:p>
    <w:p w14:paraId="3AE7BE57" w14:textId="477767EE" w:rsidR="00C203B9" w:rsidRDefault="00877DD7" w:rsidP="00D10877">
      <w:pPr>
        <w:jc w:val="both"/>
      </w:pPr>
      <w:r>
        <w:lastRenderedPageBreak/>
        <w:t>R</w:t>
      </w:r>
      <w:r w:rsidR="00132F28">
        <w:rPr>
          <w:rFonts w:ascii="Calibri" w:hAnsi="Calibri" w:cs="Calibri"/>
        </w:rPr>
        <w:t xml:space="preserve">ecent research by Link Asset Services </w:t>
      </w:r>
      <w:r>
        <w:rPr>
          <w:rFonts w:ascii="Calibri" w:hAnsi="Calibri" w:cs="Calibri"/>
        </w:rPr>
        <w:t xml:space="preserve">illustrates </w:t>
      </w:r>
      <w:r w:rsidR="00132F28">
        <w:rPr>
          <w:rFonts w:ascii="Calibri" w:hAnsi="Calibri" w:cs="Calibri"/>
        </w:rPr>
        <w:t xml:space="preserve">that the </w:t>
      </w:r>
      <w:r w:rsidR="00132F28" w:rsidRPr="000C12A9">
        <w:rPr>
          <w:rFonts w:ascii="Calibri" w:hAnsi="Calibri" w:cs="Calibri"/>
        </w:rPr>
        <w:t>debt of listed UK companies has rise</w:t>
      </w:r>
      <w:r w:rsidR="00132F28">
        <w:rPr>
          <w:rFonts w:ascii="Calibri" w:hAnsi="Calibri" w:cs="Calibri"/>
        </w:rPr>
        <w:t>n</w:t>
      </w:r>
      <w:r w:rsidR="00132F28" w:rsidRPr="000C12A9">
        <w:rPr>
          <w:rFonts w:ascii="Calibri" w:hAnsi="Calibri" w:cs="Calibri"/>
        </w:rPr>
        <w:t xml:space="preserve"> to a record £390.7 billion</w:t>
      </w:r>
      <w:r w:rsidR="005E4C25">
        <w:rPr>
          <w:rStyle w:val="FootnoteReference"/>
          <w:rFonts w:ascii="Calibri" w:hAnsi="Calibri" w:cs="Calibri"/>
        </w:rPr>
        <w:footnoteReference w:id="6"/>
      </w:r>
      <w:r w:rsidR="00132F28" w:rsidRPr="000C12A9">
        <w:rPr>
          <w:rFonts w:ascii="Calibri" w:hAnsi="Calibri" w:cs="Calibri"/>
        </w:rPr>
        <w:t xml:space="preserve"> after nearly a decade of ultra-low interest rates</w:t>
      </w:r>
      <w:r>
        <w:rPr>
          <w:rFonts w:ascii="Calibri" w:hAnsi="Calibri" w:cs="Calibri"/>
        </w:rPr>
        <w:t>. A</w:t>
      </w:r>
      <w:r w:rsidR="00132F28">
        <w:rPr>
          <w:rFonts w:ascii="Calibri" w:hAnsi="Calibri" w:cs="Calibri"/>
        </w:rPr>
        <w:t>ny changes in the UK’s economic fortunes could mean a significant number of compa</w:t>
      </w:r>
      <w:r w:rsidR="005E4C25">
        <w:rPr>
          <w:rFonts w:ascii="Calibri" w:hAnsi="Calibri" w:cs="Calibri"/>
        </w:rPr>
        <w:t xml:space="preserve">nies facing </w:t>
      </w:r>
      <w:r>
        <w:rPr>
          <w:rFonts w:ascii="Calibri" w:hAnsi="Calibri" w:cs="Calibri"/>
        </w:rPr>
        <w:t xml:space="preserve">serious </w:t>
      </w:r>
      <w:r w:rsidR="005E4C25">
        <w:rPr>
          <w:rFonts w:ascii="Calibri" w:hAnsi="Calibri" w:cs="Calibri"/>
        </w:rPr>
        <w:t>financial pressures</w:t>
      </w:r>
      <w:r w:rsidR="00C203B9">
        <w:rPr>
          <w:rFonts w:ascii="Calibri" w:hAnsi="Calibri" w:cs="Calibri"/>
        </w:rPr>
        <w:t>, which</w:t>
      </w:r>
      <w:r w:rsidR="005E4C25">
        <w:rPr>
          <w:rFonts w:ascii="Calibri" w:hAnsi="Calibri" w:cs="Calibri"/>
        </w:rPr>
        <w:t xml:space="preserve"> </w:t>
      </w:r>
      <w:r w:rsidR="00132F28">
        <w:rPr>
          <w:rFonts w:ascii="Calibri" w:hAnsi="Calibri" w:cs="Calibri"/>
        </w:rPr>
        <w:t>will</w:t>
      </w:r>
      <w:r w:rsidR="005E4C25">
        <w:rPr>
          <w:rFonts w:ascii="Calibri" w:hAnsi="Calibri" w:cs="Calibri"/>
        </w:rPr>
        <w:t xml:space="preserve"> substantially</w:t>
      </w:r>
      <w:r w:rsidR="00132F28">
        <w:rPr>
          <w:rFonts w:ascii="Calibri" w:hAnsi="Calibri" w:cs="Calibri"/>
        </w:rPr>
        <w:t xml:space="preserve"> impact their ability to create </w:t>
      </w:r>
      <w:r w:rsidR="005E4C25">
        <w:rPr>
          <w:rFonts w:ascii="Calibri" w:hAnsi="Calibri" w:cs="Calibri"/>
        </w:rPr>
        <w:t>jobs</w:t>
      </w:r>
      <w:r w:rsidR="00132F28">
        <w:rPr>
          <w:rFonts w:ascii="Calibri" w:hAnsi="Calibri" w:cs="Calibri"/>
        </w:rPr>
        <w:t>.</w:t>
      </w:r>
      <w:r w:rsidR="00132F28" w:rsidRPr="00132F28">
        <w:t xml:space="preserve"> </w:t>
      </w:r>
    </w:p>
    <w:p w14:paraId="59F11661" w14:textId="2A56320F" w:rsidR="006556DC" w:rsidRDefault="00877DD7" w:rsidP="00D10877">
      <w:pPr>
        <w:jc w:val="both"/>
      </w:pPr>
      <w:r>
        <w:t>A</w:t>
      </w:r>
      <w:r w:rsidR="00BC7A6C">
        <w:t>n</w:t>
      </w:r>
      <w:r w:rsidR="00132F28">
        <w:t xml:space="preserve"> international consensus</w:t>
      </w:r>
      <w:r w:rsidR="00C203B9">
        <w:t xml:space="preserve"> has emerged, which</w:t>
      </w:r>
      <w:r>
        <w:t xml:space="preserve"> supports the view that</w:t>
      </w:r>
      <w:r w:rsidR="00132F28">
        <w:t xml:space="preserve"> an imbalance in the tax treatment of debt and equity contributes to economic instability and hinders economic growth:</w:t>
      </w:r>
    </w:p>
    <w:p w14:paraId="10F4608E" w14:textId="2865A577" w:rsidR="00FC6102" w:rsidRPr="001422D7" w:rsidRDefault="006556DC" w:rsidP="00C4032A">
      <w:pPr>
        <w:pStyle w:val="ListParagraph"/>
        <w:numPr>
          <w:ilvl w:val="0"/>
          <w:numId w:val="22"/>
        </w:numPr>
        <w:ind w:left="284" w:hanging="284"/>
        <w:contextualSpacing w:val="0"/>
        <w:jc w:val="both"/>
        <w:rPr>
          <w:rFonts w:ascii="Calibri" w:hAnsi="Calibri"/>
        </w:rPr>
      </w:pPr>
      <w:r w:rsidRPr="001422D7">
        <w:rPr>
          <w:rFonts w:ascii="Calibri" w:hAnsi="Calibri"/>
          <w:b/>
        </w:rPr>
        <w:t>The OECD</w:t>
      </w:r>
      <w:r w:rsidR="00FC6102" w:rsidRPr="001422D7">
        <w:rPr>
          <w:rFonts w:ascii="Calibri" w:hAnsi="Calibri"/>
        </w:rPr>
        <w:t xml:space="preserve"> has found that </w:t>
      </w:r>
      <w:r w:rsidR="00937065" w:rsidRPr="001422D7">
        <w:rPr>
          <w:rFonts w:ascii="Calibri" w:hAnsi="Calibri"/>
        </w:rPr>
        <w:t>“</w:t>
      </w:r>
      <w:r w:rsidR="00D10877" w:rsidRPr="001422D7">
        <w:rPr>
          <w:rFonts w:ascii="Calibri" w:hAnsi="Calibri"/>
        </w:rPr>
        <w:t>in most OECD countries more debt is typically associated with slower growth while more stock market financing generates a positive growth effect. Furthermore, recent OECD work</w:t>
      </w:r>
      <w:r w:rsidR="00D10877" w:rsidRPr="001422D7">
        <w:rPr>
          <w:rStyle w:val="FootnoteReference"/>
          <w:rFonts w:ascii="Calibri" w:hAnsi="Calibri"/>
        </w:rPr>
        <w:footnoteReference w:id="7"/>
      </w:r>
      <w:r w:rsidR="00D10877" w:rsidRPr="001422D7">
        <w:rPr>
          <w:rFonts w:ascii="Calibri" w:hAnsi="Calibri"/>
        </w:rPr>
        <w:t xml:space="preserve"> (</w:t>
      </w:r>
      <w:proofErr w:type="spellStart"/>
      <w:r w:rsidR="00D10877" w:rsidRPr="001422D7">
        <w:rPr>
          <w:rFonts w:ascii="Calibri" w:hAnsi="Calibri"/>
        </w:rPr>
        <w:t>Ahrend</w:t>
      </w:r>
      <w:proofErr w:type="spellEnd"/>
      <w:r w:rsidR="00D10877" w:rsidRPr="001422D7">
        <w:rPr>
          <w:rFonts w:ascii="Calibri" w:hAnsi="Calibri"/>
        </w:rPr>
        <w:t xml:space="preserve"> and </w:t>
      </w:r>
      <w:proofErr w:type="spellStart"/>
      <w:r w:rsidR="00D10877" w:rsidRPr="001422D7">
        <w:rPr>
          <w:rFonts w:ascii="Calibri" w:hAnsi="Calibri"/>
        </w:rPr>
        <w:t>Goujard</w:t>
      </w:r>
      <w:proofErr w:type="spellEnd"/>
      <w:r w:rsidR="00D10877" w:rsidRPr="001422D7">
        <w:rPr>
          <w:rFonts w:ascii="Calibri" w:hAnsi="Calibri"/>
        </w:rPr>
        <w:t xml:space="preserve">, 2012) found that corporate tax systems which favour debt over equity are associated with a higher share of debt in external financing, thereby increasing financial crisis risks. The economic literature and earlier OECD work identified that the debt bias in corporate taxation generates costly economic distortions (De </w:t>
      </w:r>
      <w:proofErr w:type="spellStart"/>
      <w:r w:rsidR="00D10877" w:rsidRPr="001422D7">
        <w:rPr>
          <w:rFonts w:ascii="Calibri" w:hAnsi="Calibri"/>
        </w:rPr>
        <w:t>Mooij</w:t>
      </w:r>
      <w:proofErr w:type="spellEnd"/>
      <w:r w:rsidR="00D10877" w:rsidRPr="001422D7">
        <w:rPr>
          <w:rFonts w:ascii="Calibri" w:hAnsi="Calibri"/>
        </w:rPr>
        <w:t>, 2012; Devereux et al., 2013; OECD, 2007). These findings all underline the growth benefits of reducing the debt bias in corporate taxation. Effective average tax rates on equity finance generally exceed those on debt finance, primarily because interest expenses are cost-deductible.”</w:t>
      </w:r>
      <w:r w:rsidR="00D10877" w:rsidRPr="001422D7">
        <w:rPr>
          <w:rStyle w:val="FootnoteReference"/>
          <w:rFonts w:ascii="Calibri" w:hAnsi="Calibri"/>
        </w:rPr>
        <w:footnoteReference w:id="8"/>
      </w:r>
    </w:p>
    <w:p w14:paraId="4DE4122A" w14:textId="1EDB0B94" w:rsidR="0015726C" w:rsidRPr="001422D7" w:rsidRDefault="00C203B9" w:rsidP="0015726C">
      <w:pPr>
        <w:pStyle w:val="ListParagraph"/>
        <w:numPr>
          <w:ilvl w:val="0"/>
          <w:numId w:val="22"/>
        </w:numPr>
        <w:ind w:left="284" w:hanging="284"/>
        <w:contextualSpacing w:val="0"/>
        <w:jc w:val="both"/>
        <w:rPr>
          <w:rFonts w:ascii="Calibri" w:hAnsi="Calibri" w:cs="Calibri"/>
        </w:rPr>
      </w:pPr>
      <w:r>
        <w:rPr>
          <w:rFonts w:ascii="Calibri" w:hAnsi="Calibri" w:cs="Calibri"/>
          <w:b/>
        </w:rPr>
        <w:t>The</w:t>
      </w:r>
      <w:r w:rsidR="0015726C">
        <w:rPr>
          <w:rFonts w:ascii="Calibri" w:hAnsi="Calibri" w:cs="Calibri"/>
          <w:b/>
        </w:rPr>
        <w:t xml:space="preserve"> </w:t>
      </w:r>
      <w:r w:rsidR="0015726C" w:rsidRPr="001422D7">
        <w:rPr>
          <w:rFonts w:ascii="Calibri" w:hAnsi="Calibri" w:cs="Calibri"/>
          <w:b/>
        </w:rPr>
        <w:t>IMF</w:t>
      </w:r>
      <w:r>
        <w:rPr>
          <w:rFonts w:ascii="Calibri" w:hAnsi="Calibri" w:cs="Calibri"/>
          <w:b/>
        </w:rPr>
        <w:t>’s</w:t>
      </w:r>
      <w:r w:rsidR="0015726C" w:rsidRPr="001422D7">
        <w:rPr>
          <w:rFonts w:ascii="Calibri" w:hAnsi="Calibri" w:cs="Calibri"/>
          <w:b/>
        </w:rPr>
        <w:t xml:space="preserve"> analysis</w:t>
      </w:r>
      <w:r w:rsidR="0015726C" w:rsidRPr="001422D7">
        <w:rPr>
          <w:rFonts w:ascii="Calibri" w:hAnsi="Calibri" w:cs="Calibri"/>
        </w:rPr>
        <w:t xml:space="preserve"> has also shown that “the risks to macroeconomic stability posed by excessive private leverage are significantly amplified by tax distortions. ‘Debt </w:t>
      </w:r>
      <w:proofErr w:type="spellStart"/>
      <w:r w:rsidR="0015726C" w:rsidRPr="001422D7">
        <w:rPr>
          <w:rFonts w:ascii="Calibri" w:hAnsi="Calibri" w:cs="Calibri"/>
        </w:rPr>
        <w:t>bias’</w:t>
      </w:r>
      <w:proofErr w:type="spellEnd"/>
      <w:r w:rsidR="0015726C" w:rsidRPr="001422D7">
        <w:rPr>
          <w:rFonts w:ascii="Calibri" w:hAnsi="Calibri" w:cs="Calibri"/>
        </w:rPr>
        <w:t xml:space="preserve"> (tax provisions favouring finance by debt rather than equity) is now widely recognized as posing a stability risk.” It found that excessive private sector debt can “increase the probability of a firm’s bankruptcy in case of an adverse shock and amplify liquidity constraints after a shock”. It pointed to the fact that, during the 2008 financial crisis, firms which held more debt where more susceptible to declines in employment than those who were not.</w:t>
      </w:r>
      <w:r w:rsidR="0015726C" w:rsidRPr="001422D7">
        <w:rPr>
          <w:rStyle w:val="FootnoteReference"/>
          <w:rFonts w:ascii="Calibri" w:hAnsi="Calibri" w:cs="Calibri"/>
        </w:rPr>
        <w:footnoteReference w:id="9"/>
      </w:r>
    </w:p>
    <w:p w14:paraId="0A28EED9" w14:textId="527918BF" w:rsidR="00FC6102" w:rsidRPr="00233725" w:rsidRDefault="00C203B9" w:rsidP="00233725">
      <w:pPr>
        <w:jc w:val="both"/>
        <w:rPr>
          <w:rFonts w:ascii="Calibri" w:hAnsi="Calibri" w:cs="Calibri"/>
        </w:rPr>
      </w:pPr>
      <w:r>
        <w:rPr>
          <w:rFonts w:ascii="Calibri" w:hAnsi="Calibri"/>
        </w:rPr>
        <w:t>Similarly</w:t>
      </w:r>
      <w:r w:rsidR="0015726C" w:rsidRPr="00233725">
        <w:rPr>
          <w:rFonts w:ascii="Calibri" w:hAnsi="Calibri"/>
        </w:rPr>
        <w:t xml:space="preserve">, </w:t>
      </w:r>
      <w:proofErr w:type="spellStart"/>
      <w:r w:rsidR="00FC6102" w:rsidRPr="00233725">
        <w:rPr>
          <w:rFonts w:ascii="Calibri" w:hAnsi="Calibri"/>
        </w:rPr>
        <w:t>TheCityUK</w:t>
      </w:r>
      <w:proofErr w:type="spellEnd"/>
      <w:r w:rsidR="00FC6102" w:rsidRPr="00233725">
        <w:rPr>
          <w:rFonts w:ascii="Calibri" w:hAnsi="Calibri"/>
        </w:rPr>
        <w:t xml:space="preserve"> and King &amp; Wood Mallesons review of the European listings regime indicated</w:t>
      </w:r>
      <w:r w:rsidR="00D10877" w:rsidRPr="00233725">
        <w:rPr>
          <w:rFonts w:ascii="Calibri" w:hAnsi="Calibri" w:cs="Calibri"/>
        </w:rPr>
        <w:t xml:space="preserve"> that making equity issuance costs deductible for corporation tax purposes would promote greater long term stability and incentivise greater use of capital markets.</w:t>
      </w:r>
      <w:r w:rsidR="00D10877" w:rsidRPr="001422D7">
        <w:rPr>
          <w:rStyle w:val="FootnoteReference"/>
          <w:rFonts w:ascii="Calibri" w:hAnsi="Calibri" w:cs="Calibri"/>
        </w:rPr>
        <w:footnoteReference w:id="10"/>
      </w:r>
      <w:r w:rsidR="00D10877" w:rsidRPr="00233725">
        <w:rPr>
          <w:rFonts w:ascii="Calibri" w:hAnsi="Calibri" w:cs="Calibri"/>
        </w:rPr>
        <w:t xml:space="preserve"> </w:t>
      </w:r>
    </w:p>
    <w:p w14:paraId="2900B872" w14:textId="5E5AA527" w:rsidR="000C12A9" w:rsidRPr="00207343" w:rsidRDefault="003B78AB" w:rsidP="00D10877">
      <w:pPr>
        <w:jc w:val="both"/>
        <w:rPr>
          <w:rFonts w:ascii="Calibri" w:hAnsi="Calibri" w:cs="Calibri"/>
        </w:rPr>
      </w:pPr>
      <w:r>
        <w:rPr>
          <w:rFonts w:ascii="Calibri" w:hAnsi="Calibri" w:cs="Calibri"/>
        </w:rPr>
        <w:t xml:space="preserve">In </w:t>
      </w:r>
      <w:r w:rsidR="00D10877">
        <w:rPr>
          <w:rFonts w:ascii="Calibri" w:hAnsi="Calibri" w:cs="Calibri"/>
        </w:rPr>
        <w:t xml:space="preserve">its </w:t>
      </w:r>
      <w:r w:rsidR="00D10877" w:rsidRPr="00207343">
        <w:rPr>
          <w:rFonts w:ascii="Calibri" w:hAnsi="Calibri" w:cs="Calibri"/>
        </w:rPr>
        <w:t>Capital Markets Union Action Plan</w:t>
      </w:r>
      <w:r w:rsidR="00D10877">
        <w:rPr>
          <w:rStyle w:val="FootnoteReference"/>
          <w:rFonts w:ascii="Calibri" w:hAnsi="Calibri" w:cs="Calibri"/>
        </w:rPr>
        <w:footnoteReference w:id="11"/>
      </w:r>
      <w:r w:rsidR="00D10877">
        <w:rPr>
          <w:rFonts w:ascii="Calibri" w:hAnsi="Calibri" w:cs="Calibri"/>
        </w:rPr>
        <w:t xml:space="preserve">, the European Commission </w:t>
      </w:r>
      <w:r>
        <w:rPr>
          <w:rFonts w:ascii="Calibri" w:hAnsi="Calibri" w:cs="Calibri"/>
        </w:rPr>
        <w:t>stated its commitment</w:t>
      </w:r>
      <w:r w:rsidR="00D10877">
        <w:rPr>
          <w:rFonts w:ascii="Calibri" w:hAnsi="Calibri" w:cs="Calibri"/>
        </w:rPr>
        <w:t xml:space="preserve"> to</w:t>
      </w:r>
      <w:r w:rsidR="00D10877" w:rsidRPr="00207343">
        <w:rPr>
          <w:rFonts w:ascii="Calibri" w:hAnsi="Calibri" w:cs="Calibri"/>
        </w:rPr>
        <w:t xml:space="preserve"> addressing the preferential tax treatment of debt </w:t>
      </w:r>
      <w:r w:rsidR="00D10877">
        <w:rPr>
          <w:rFonts w:ascii="Calibri" w:hAnsi="Calibri" w:cs="Calibri"/>
        </w:rPr>
        <w:t xml:space="preserve">in an effort to </w:t>
      </w:r>
      <w:r w:rsidR="00D10877" w:rsidRPr="00207343">
        <w:rPr>
          <w:rFonts w:ascii="Calibri" w:hAnsi="Calibri" w:cs="Calibri"/>
        </w:rPr>
        <w:t xml:space="preserve">encourage more equity investments and </w:t>
      </w:r>
      <w:r w:rsidR="00D10877">
        <w:rPr>
          <w:rFonts w:ascii="Calibri" w:hAnsi="Calibri" w:cs="Calibri"/>
        </w:rPr>
        <w:t>increase</w:t>
      </w:r>
      <w:r w:rsidR="00D10877" w:rsidRPr="00207343">
        <w:rPr>
          <w:rFonts w:ascii="Calibri" w:hAnsi="Calibri" w:cs="Calibri"/>
        </w:rPr>
        <w:t xml:space="preserve"> financial stability </w:t>
      </w:r>
      <w:r w:rsidR="00D10877">
        <w:rPr>
          <w:rFonts w:ascii="Calibri" w:hAnsi="Calibri" w:cs="Calibri"/>
        </w:rPr>
        <w:t>in the European Union.</w:t>
      </w:r>
    </w:p>
    <w:p w14:paraId="1BB0B02D" w14:textId="4D30315A" w:rsidR="00EF0D34" w:rsidRPr="00EF0D34" w:rsidRDefault="00EF0D34" w:rsidP="00D10877">
      <w:pPr>
        <w:jc w:val="both"/>
        <w:rPr>
          <w:rFonts w:ascii="Calibri" w:hAnsi="Calibri" w:cs="Calibri"/>
          <w:b/>
        </w:rPr>
      </w:pPr>
      <w:r w:rsidRPr="00EF0D34">
        <w:rPr>
          <w:rFonts w:ascii="Calibri" w:hAnsi="Calibri" w:cs="Calibri"/>
          <w:b/>
        </w:rPr>
        <w:t xml:space="preserve">It is therefore </w:t>
      </w:r>
      <w:r w:rsidR="0015726C">
        <w:rPr>
          <w:rFonts w:ascii="Calibri" w:hAnsi="Calibri" w:cs="Calibri"/>
          <w:b/>
        </w:rPr>
        <w:t>apparent</w:t>
      </w:r>
      <w:r w:rsidR="0015726C" w:rsidRPr="00EF0D34">
        <w:rPr>
          <w:rFonts w:ascii="Calibri" w:hAnsi="Calibri" w:cs="Calibri"/>
          <w:b/>
        </w:rPr>
        <w:t xml:space="preserve"> </w:t>
      </w:r>
      <w:r w:rsidRPr="00EF0D34">
        <w:rPr>
          <w:rFonts w:ascii="Calibri" w:hAnsi="Calibri" w:cs="Calibri"/>
          <w:b/>
        </w:rPr>
        <w:t>that r</w:t>
      </w:r>
      <w:r w:rsidR="00D10877" w:rsidRPr="00EF0D34">
        <w:rPr>
          <w:rFonts w:ascii="Calibri" w:hAnsi="Calibri" w:cs="Calibri"/>
          <w:b/>
        </w:rPr>
        <w:t xml:space="preserve">eliance on debt finance is not a long-term solution for small and mid-size companies. </w:t>
      </w:r>
      <w:r w:rsidR="00BC7A6C">
        <w:rPr>
          <w:rFonts w:ascii="Calibri" w:hAnsi="Calibri" w:cs="Calibri"/>
          <w:b/>
        </w:rPr>
        <w:t>Accordingly, t</w:t>
      </w:r>
      <w:r w:rsidR="00D10877" w:rsidRPr="00EF0D34">
        <w:rPr>
          <w:rFonts w:ascii="Calibri" w:hAnsi="Calibri" w:cs="Calibri"/>
          <w:b/>
        </w:rPr>
        <w:t xml:space="preserve">he UK government </w:t>
      </w:r>
      <w:r w:rsidR="008B5656">
        <w:rPr>
          <w:rFonts w:ascii="Calibri" w:hAnsi="Calibri" w:cs="Calibri"/>
          <w:b/>
        </w:rPr>
        <w:t>should</w:t>
      </w:r>
      <w:r>
        <w:rPr>
          <w:rFonts w:ascii="Calibri" w:hAnsi="Calibri" w:cs="Calibri"/>
          <w:b/>
        </w:rPr>
        <w:t xml:space="preserve"> </w:t>
      </w:r>
      <w:r w:rsidR="00BC7A6C">
        <w:rPr>
          <w:rFonts w:ascii="Calibri" w:hAnsi="Calibri" w:cs="Calibri"/>
          <w:b/>
        </w:rPr>
        <w:t xml:space="preserve">take steps to </w:t>
      </w:r>
      <w:r>
        <w:rPr>
          <w:rFonts w:ascii="Calibri" w:hAnsi="Calibri" w:cs="Calibri"/>
          <w:b/>
        </w:rPr>
        <w:t>eliminate the debt bias and</w:t>
      </w:r>
      <w:r w:rsidR="00D10877" w:rsidRPr="00EF0D34">
        <w:rPr>
          <w:rFonts w:ascii="Calibri" w:hAnsi="Calibri" w:cs="Calibri"/>
          <w:b/>
        </w:rPr>
        <w:t xml:space="preserve"> incentivise</w:t>
      </w:r>
      <w:r w:rsidR="00BE2D17" w:rsidRPr="00EF0D34">
        <w:rPr>
          <w:rFonts w:ascii="Calibri" w:hAnsi="Calibri" w:cs="Calibri"/>
          <w:b/>
        </w:rPr>
        <w:t xml:space="preserve"> </w:t>
      </w:r>
      <w:r w:rsidR="00D10877" w:rsidRPr="00EF0D34">
        <w:rPr>
          <w:rFonts w:ascii="Calibri" w:hAnsi="Calibri" w:cs="Calibri"/>
          <w:b/>
        </w:rPr>
        <w:t>equity finance</w:t>
      </w:r>
      <w:r w:rsidR="0059217B">
        <w:rPr>
          <w:rFonts w:ascii="Calibri" w:hAnsi="Calibri" w:cs="Calibri"/>
          <w:b/>
        </w:rPr>
        <w:t xml:space="preserve"> as a source of long-term, patient capital</w:t>
      </w:r>
      <w:r w:rsidR="00D10877" w:rsidRPr="00EF0D34">
        <w:rPr>
          <w:rFonts w:ascii="Calibri" w:hAnsi="Calibri" w:cs="Calibri"/>
          <w:b/>
        </w:rPr>
        <w:t xml:space="preserve">. </w:t>
      </w:r>
    </w:p>
    <w:p w14:paraId="6463821E" w14:textId="73664EFC" w:rsidR="00EF0D34" w:rsidRPr="00744036" w:rsidRDefault="00132F28" w:rsidP="00D10877">
      <w:pPr>
        <w:jc w:val="both"/>
        <w:rPr>
          <w:rFonts w:ascii="Calibri" w:hAnsi="Calibri" w:cs="Calibri"/>
          <w:color w:val="FF0000"/>
        </w:rPr>
      </w:pPr>
      <w:r w:rsidRPr="00744036">
        <w:rPr>
          <w:rFonts w:ascii="Calibri" w:hAnsi="Calibri" w:cs="Calibri"/>
          <w:color w:val="FF0000"/>
        </w:rPr>
        <w:lastRenderedPageBreak/>
        <w:t>It</w:t>
      </w:r>
      <w:r w:rsidR="00744036" w:rsidRPr="00744036">
        <w:rPr>
          <w:rFonts w:ascii="Calibri" w:hAnsi="Calibri" w:cs="Calibri"/>
          <w:color w:val="FF0000"/>
        </w:rPr>
        <w:t xml:space="preserve"> </w:t>
      </w:r>
      <w:r w:rsidR="00BC7A6C" w:rsidRPr="00744036">
        <w:rPr>
          <w:rFonts w:ascii="Calibri" w:hAnsi="Calibri" w:cs="Calibri"/>
          <w:color w:val="FF0000"/>
        </w:rPr>
        <w:t>is considered that the UK government could begin to address the issue as follows</w:t>
      </w:r>
      <w:r w:rsidR="00EF0D34" w:rsidRPr="00744036">
        <w:rPr>
          <w:rFonts w:ascii="Calibri" w:hAnsi="Calibri" w:cs="Calibri"/>
          <w:color w:val="FF0000"/>
        </w:rPr>
        <w:t>:</w:t>
      </w:r>
    </w:p>
    <w:p w14:paraId="58839595" w14:textId="589E58A2" w:rsidR="00EF0D34" w:rsidRPr="00AA2D46" w:rsidRDefault="00EF0D34" w:rsidP="00455922">
      <w:pPr>
        <w:pStyle w:val="ListParagraph"/>
        <w:numPr>
          <w:ilvl w:val="0"/>
          <w:numId w:val="23"/>
        </w:numPr>
        <w:ind w:left="284" w:hanging="284"/>
        <w:jc w:val="both"/>
        <w:rPr>
          <w:rFonts w:ascii="Calibri" w:hAnsi="Calibri" w:cs="Calibri"/>
          <w:b/>
          <w:i/>
        </w:rPr>
      </w:pPr>
      <w:r w:rsidRPr="00AA2D46">
        <w:rPr>
          <w:rFonts w:ascii="Calibri" w:hAnsi="Calibri" w:cs="Calibri"/>
          <w:b/>
          <w:i/>
        </w:rPr>
        <w:t>Provide tax relief for the costs of raising equity</w:t>
      </w:r>
      <w:r w:rsidR="00BC7A6C">
        <w:rPr>
          <w:rFonts w:ascii="Calibri" w:hAnsi="Calibri" w:cs="Calibri"/>
          <w:b/>
          <w:i/>
        </w:rPr>
        <w:t xml:space="preserve"> </w:t>
      </w:r>
      <w:r w:rsidR="00BC7A6C" w:rsidRPr="00744036">
        <w:rPr>
          <w:rFonts w:ascii="Calibri" w:hAnsi="Calibri" w:cs="Calibri"/>
          <w:b/>
          <w:i/>
          <w:color w:val="FF0000"/>
        </w:rPr>
        <w:t xml:space="preserve">up to a </w:t>
      </w:r>
      <w:r w:rsidR="00744036" w:rsidRPr="00744036">
        <w:rPr>
          <w:rFonts w:ascii="Calibri" w:hAnsi="Calibri" w:cs="Calibri"/>
          <w:b/>
          <w:i/>
          <w:color w:val="FF0000"/>
        </w:rPr>
        <w:t>threshold</w:t>
      </w:r>
      <w:r w:rsidR="00BC7A6C" w:rsidRPr="00744036">
        <w:rPr>
          <w:rFonts w:ascii="Calibri" w:hAnsi="Calibri" w:cs="Calibri"/>
          <w:b/>
          <w:i/>
          <w:color w:val="FF0000"/>
        </w:rPr>
        <w:t xml:space="preserve"> level</w:t>
      </w:r>
      <w:r w:rsidRPr="00AA2D46">
        <w:rPr>
          <w:rFonts w:ascii="Calibri" w:hAnsi="Calibri" w:cs="Calibri"/>
          <w:b/>
          <w:i/>
        </w:rPr>
        <w:t>.</w:t>
      </w:r>
    </w:p>
    <w:p w14:paraId="09509620" w14:textId="77777777" w:rsidR="00BC7A6C" w:rsidRDefault="008B5656" w:rsidP="008B5656">
      <w:pPr>
        <w:jc w:val="both"/>
        <w:rPr>
          <w:rFonts w:ascii="Calibri" w:hAnsi="Calibri" w:cs="Calibri"/>
        </w:rPr>
      </w:pPr>
      <w:r>
        <w:rPr>
          <w:rFonts w:ascii="Calibri" w:hAnsi="Calibri" w:cs="Calibri"/>
        </w:rPr>
        <w:t>Eighteen</w:t>
      </w:r>
      <w:r w:rsidR="0015726C">
        <w:rPr>
          <w:rFonts w:ascii="Calibri" w:hAnsi="Calibri" w:cs="Calibri"/>
        </w:rPr>
        <w:t xml:space="preserve"> other European countries</w:t>
      </w:r>
      <w:r w:rsidR="00C203B9">
        <w:rPr>
          <w:rFonts w:ascii="Calibri" w:hAnsi="Calibri" w:cs="Calibri"/>
        </w:rPr>
        <w:t xml:space="preserve"> (including 13 member states of the European Union)</w:t>
      </w:r>
      <w:r w:rsidR="0015726C">
        <w:rPr>
          <w:rFonts w:ascii="Calibri" w:hAnsi="Calibri" w:cs="Calibri"/>
        </w:rPr>
        <w:t xml:space="preserve"> provid</w:t>
      </w:r>
      <w:r w:rsidR="00C203B9">
        <w:rPr>
          <w:rFonts w:ascii="Calibri" w:hAnsi="Calibri" w:cs="Calibri"/>
        </w:rPr>
        <w:t>e</w:t>
      </w:r>
      <w:r w:rsidR="0015726C">
        <w:rPr>
          <w:rFonts w:ascii="Calibri" w:hAnsi="Calibri" w:cs="Calibri"/>
        </w:rPr>
        <w:t xml:space="preserve"> tax relief for the costs of raising equity</w:t>
      </w:r>
      <w:r w:rsidR="00C203B9">
        <w:rPr>
          <w:rFonts w:ascii="Calibri" w:hAnsi="Calibri" w:cs="Calibri"/>
        </w:rPr>
        <w:t>. If the UK were to do the same, it</w:t>
      </w:r>
      <w:r w:rsidR="0015726C">
        <w:rPr>
          <w:rFonts w:ascii="Calibri" w:hAnsi="Calibri" w:cs="Calibri"/>
        </w:rPr>
        <w:t xml:space="preserve"> </w:t>
      </w:r>
      <w:r w:rsidR="00AA2D46">
        <w:rPr>
          <w:rFonts w:ascii="Calibri" w:hAnsi="Calibri" w:cs="Calibri"/>
        </w:rPr>
        <w:t>would</w:t>
      </w:r>
      <w:r w:rsidR="00D10877" w:rsidRPr="00207343">
        <w:rPr>
          <w:rFonts w:ascii="Calibri" w:hAnsi="Calibri" w:cs="Calibri"/>
        </w:rPr>
        <w:t xml:space="preserve"> encourage </w:t>
      </w:r>
      <w:r w:rsidR="0015726C">
        <w:rPr>
          <w:rFonts w:ascii="Calibri" w:hAnsi="Calibri" w:cs="Calibri"/>
        </w:rPr>
        <w:t>a greater number of smaller</w:t>
      </w:r>
      <w:r w:rsidR="00D10877" w:rsidRPr="00207343">
        <w:rPr>
          <w:rFonts w:ascii="Calibri" w:hAnsi="Calibri" w:cs="Calibri"/>
        </w:rPr>
        <w:t xml:space="preserve"> companies to consider </w:t>
      </w:r>
      <w:r w:rsidR="00D10877">
        <w:rPr>
          <w:rFonts w:ascii="Calibri" w:hAnsi="Calibri" w:cs="Calibri"/>
        </w:rPr>
        <w:t xml:space="preserve">using </w:t>
      </w:r>
      <w:r w:rsidR="00D10877" w:rsidRPr="00207343">
        <w:rPr>
          <w:rFonts w:ascii="Calibri" w:hAnsi="Calibri" w:cs="Calibri"/>
        </w:rPr>
        <w:t>public equity</w:t>
      </w:r>
      <w:r w:rsidR="00D10877">
        <w:rPr>
          <w:rFonts w:ascii="Calibri" w:hAnsi="Calibri" w:cs="Calibri"/>
        </w:rPr>
        <w:t xml:space="preserve"> markets</w:t>
      </w:r>
      <w:r w:rsidR="0015726C">
        <w:rPr>
          <w:rFonts w:ascii="Calibri" w:hAnsi="Calibri" w:cs="Calibri"/>
        </w:rPr>
        <w:t xml:space="preserve"> to finance their growth and development</w:t>
      </w:r>
      <w:r w:rsidR="00D10877" w:rsidRPr="00207343">
        <w:rPr>
          <w:rFonts w:ascii="Calibri" w:hAnsi="Calibri" w:cs="Calibri"/>
        </w:rPr>
        <w:t xml:space="preserve">. </w:t>
      </w:r>
    </w:p>
    <w:p w14:paraId="4EB8C213" w14:textId="7EF668E0" w:rsidR="00E612EF" w:rsidRDefault="00D10877" w:rsidP="00BC7A6C">
      <w:pPr>
        <w:jc w:val="both"/>
        <w:rPr>
          <w:rFonts w:ascii="Calibri" w:hAnsi="Calibri" w:cs="Calibri"/>
        </w:rPr>
      </w:pPr>
      <w:r w:rsidRPr="00207343">
        <w:rPr>
          <w:rFonts w:ascii="Calibri" w:hAnsi="Calibri" w:cs="Calibri"/>
        </w:rPr>
        <w:t>Fully leveraging the true potential of capital markets will ensure that small and mid-size quoted companies</w:t>
      </w:r>
      <w:r w:rsidR="00AA2D46">
        <w:rPr>
          <w:rFonts w:ascii="Calibri" w:hAnsi="Calibri" w:cs="Calibri"/>
        </w:rPr>
        <w:t xml:space="preserve"> – </w:t>
      </w:r>
      <w:r w:rsidRPr="00207343">
        <w:rPr>
          <w:rFonts w:ascii="Calibri" w:hAnsi="Calibri" w:cs="Calibri"/>
        </w:rPr>
        <w:t xml:space="preserve"> which play a crucial role in the UK economy</w:t>
      </w:r>
      <w:r w:rsidR="00AA2D46">
        <w:rPr>
          <w:rFonts w:ascii="Calibri" w:hAnsi="Calibri" w:cs="Calibri"/>
        </w:rPr>
        <w:t xml:space="preserve"> – </w:t>
      </w:r>
      <w:r w:rsidRPr="00207343">
        <w:rPr>
          <w:rFonts w:ascii="Calibri" w:hAnsi="Calibri" w:cs="Calibri"/>
        </w:rPr>
        <w:t xml:space="preserve"> are </w:t>
      </w:r>
      <w:r w:rsidR="00C203B9">
        <w:rPr>
          <w:rFonts w:ascii="Calibri" w:hAnsi="Calibri" w:cs="Calibri"/>
        </w:rPr>
        <w:t>able</w:t>
      </w:r>
      <w:r w:rsidR="00C203B9" w:rsidRPr="00207343">
        <w:rPr>
          <w:rFonts w:ascii="Calibri" w:hAnsi="Calibri" w:cs="Calibri"/>
        </w:rPr>
        <w:t xml:space="preserve"> </w:t>
      </w:r>
      <w:r w:rsidRPr="00207343">
        <w:rPr>
          <w:rFonts w:ascii="Calibri" w:hAnsi="Calibri" w:cs="Calibri"/>
        </w:rPr>
        <w:t>to raise capital more cheaply and efficiently in a way that will generate employment and wealth, drive</w:t>
      </w:r>
      <w:r w:rsidR="00AA2D46">
        <w:rPr>
          <w:rFonts w:ascii="Calibri" w:hAnsi="Calibri" w:cs="Calibri"/>
        </w:rPr>
        <w:t xml:space="preserve"> sustainable</w:t>
      </w:r>
      <w:r w:rsidRPr="00207343">
        <w:rPr>
          <w:rFonts w:ascii="Calibri" w:hAnsi="Calibri" w:cs="Calibri"/>
        </w:rPr>
        <w:t xml:space="preserve"> economic growth and support wider financial stability. </w:t>
      </w:r>
    </w:p>
    <w:p w14:paraId="02D51E54" w14:textId="70F7D4B6" w:rsidR="00CE25CA" w:rsidRDefault="00CE25CA" w:rsidP="00AA2D46">
      <w:pPr>
        <w:jc w:val="both"/>
        <w:rPr>
          <w:rFonts w:ascii="Calibri" w:hAnsi="Calibri" w:cs="Calibri"/>
        </w:rPr>
      </w:pPr>
    </w:p>
    <w:p w14:paraId="1725E085" w14:textId="6EA84D3D" w:rsidR="00702F31" w:rsidRDefault="00F20D92" w:rsidP="00AA2D46">
      <w:pPr>
        <w:jc w:val="both"/>
        <w:rPr>
          <w:rFonts w:ascii="Calibri" w:hAnsi="Calibri" w:cs="Calibri"/>
        </w:rPr>
      </w:pPr>
      <w:r w:rsidRPr="008E5291">
        <w:rPr>
          <w:rFonts w:ascii="Calibri" w:hAnsi="Calibri" w:cs="Calibri"/>
          <w:b/>
          <w:i/>
          <w:noProof/>
          <w:lang w:eastAsia="en-GB"/>
        </w:rPr>
        <mc:AlternateContent>
          <mc:Choice Requires="wps">
            <w:drawing>
              <wp:anchor distT="0" distB="0" distL="114300" distR="114300" simplePos="0" relativeHeight="251662336" behindDoc="0" locked="0" layoutInCell="1" allowOverlap="1" wp14:anchorId="5539030E" wp14:editId="6D45AF34">
                <wp:simplePos x="0" y="0"/>
                <wp:positionH relativeFrom="column">
                  <wp:posOffset>-11167</wp:posOffset>
                </wp:positionH>
                <wp:positionV relativeFrom="paragraph">
                  <wp:posOffset>-41176</wp:posOffset>
                </wp:positionV>
                <wp:extent cx="6210300" cy="949960"/>
                <wp:effectExtent l="0" t="0" r="19050" b="2159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94996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3A24E6C" w14:textId="77777777" w:rsidR="006A5868" w:rsidRPr="008E5291" w:rsidRDefault="006A5868" w:rsidP="00D10877">
                            <w:pPr>
                              <w:jc w:val="both"/>
                            </w:pPr>
                            <w:r w:rsidRPr="008E5291">
                              <w:rPr>
                                <w:rFonts w:ascii="Calibri" w:hAnsi="Calibri" w:cs="Calibri"/>
                                <w:b/>
                              </w:rPr>
                              <w:t>For a small and mid-size company, the costs of raising equity represent a disproportionately large percentage of funds being raised and are, therefore, a major disincentive to seeking a listing on a public equity market. The UK is at a competitive disadvantage compared to many other European regimes</w:t>
                            </w:r>
                            <w:r>
                              <w:rPr>
                                <w:rFonts w:ascii="Calibri" w:hAnsi="Calibri" w:cs="Calibri"/>
                                <w:b/>
                              </w:rPr>
                              <w:t xml:space="preserve"> (outlined in Appendix A</w:t>
                            </w:r>
                            <w:r w:rsidRPr="008E5291">
                              <w:rPr>
                                <w:rFonts w:ascii="Calibri" w:hAnsi="Calibri" w:cs="Calibri"/>
                                <w:b/>
                              </w:rPr>
                              <w:t>), which provide some form of corporation tax relief for raising equity finance.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39030E" id="_x0000_s1027" type="#_x0000_t202" style="position:absolute;left:0;text-align:left;margin-left:-.9pt;margin-top:-3.25pt;width:489pt;height:74.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" fillcolor="white [3201]" strokecolor="black [3200]" strokeweight="2pt">
                <v:textbox>
                  <w:txbxContent>
                    <w:p w14:paraId="53A24E6C" w14:textId="77777777" w:rsidR="006A5868" w:rsidRPr="008E5291" w:rsidRDefault="006A5868" w:rsidP="00D10877">
                      <w:pPr>
                        <w:jc w:val="both"/>
                      </w:pPr>
                      <w:r w:rsidRPr="008E5291">
                        <w:rPr>
                          <w:rFonts w:ascii="Calibri" w:hAnsi="Calibri" w:cs="Calibri"/>
                          <w:b/>
                        </w:rPr>
                        <w:t>For a small and mid-size company, the costs of raising equity represent a disproportionately large percentage of funds being raised and are, therefore, a major disincentive to seeking a listing on a public equity market. The UK is at a competitive disadvantage compared to many other European regimes</w:t>
                      </w:r>
                      <w:r>
                        <w:rPr>
                          <w:rFonts w:ascii="Calibri" w:hAnsi="Calibri" w:cs="Calibri"/>
                          <w:b/>
                        </w:rPr>
                        <w:t xml:space="preserve"> (outlined in Appendix A</w:t>
                      </w:r>
                      <w:r w:rsidRPr="008E5291">
                        <w:rPr>
                          <w:rFonts w:ascii="Calibri" w:hAnsi="Calibri" w:cs="Calibri"/>
                          <w:b/>
                        </w:rPr>
                        <w:t>), which provide some form of corporation tax relief for raising equity finance.</w:t>
                      </w:r>
                    </w:p>
                  </w:txbxContent>
                </v:textbox>
              </v:shape>
            </w:pict>
          </mc:Fallback>
        </mc:AlternateContent>
      </w:r>
    </w:p>
    <w:p w14:paraId="232319C5" w14:textId="3382724C" w:rsidR="00702F31" w:rsidRDefault="00702F31" w:rsidP="00AA2D46">
      <w:pPr>
        <w:jc w:val="both"/>
        <w:rPr>
          <w:rFonts w:ascii="Calibri" w:hAnsi="Calibri" w:cs="Calibri"/>
        </w:rPr>
      </w:pPr>
    </w:p>
    <w:p w14:paraId="137E3158" w14:textId="77777777" w:rsidR="00C203B9" w:rsidRDefault="00C203B9" w:rsidP="00C203B9">
      <w:pPr>
        <w:jc w:val="both"/>
        <w:rPr>
          <w:rFonts w:ascii="Calibri" w:hAnsi="Calibri" w:cs="Calibri"/>
        </w:rPr>
      </w:pPr>
    </w:p>
    <w:p w14:paraId="159CCFDB" w14:textId="0C0ECE66" w:rsidR="00AA2D46" w:rsidRDefault="00AA2D46" w:rsidP="00AA2D46">
      <w:pPr>
        <w:jc w:val="both"/>
        <w:rPr>
          <w:rFonts w:ascii="Calibri" w:hAnsi="Calibri" w:cs="Calibri"/>
        </w:rPr>
      </w:pPr>
      <w:r>
        <w:rPr>
          <w:rFonts w:ascii="Calibri" w:hAnsi="Calibri" w:cs="Calibri"/>
        </w:rPr>
        <w:t xml:space="preserve">Providing tax relief for equity raising costs should be composed of </w:t>
      </w:r>
      <w:r w:rsidR="0015726C">
        <w:rPr>
          <w:rFonts w:ascii="Calibri" w:hAnsi="Calibri" w:cs="Calibri"/>
        </w:rPr>
        <w:t>the following</w:t>
      </w:r>
      <w:r>
        <w:rPr>
          <w:rFonts w:ascii="Calibri" w:hAnsi="Calibri" w:cs="Calibri"/>
        </w:rPr>
        <w:t xml:space="preserve"> </w:t>
      </w:r>
      <w:r w:rsidR="004000E5">
        <w:rPr>
          <w:rFonts w:ascii="Calibri" w:hAnsi="Calibri" w:cs="Calibri"/>
        </w:rPr>
        <w:t>elements</w:t>
      </w:r>
      <w:r>
        <w:rPr>
          <w:rFonts w:ascii="Calibri" w:hAnsi="Calibri" w:cs="Calibri"/>
        </w:rPr>
        <w:t>:</w:t>
      </w:r>
    </w:p>
    <w:p w14:paraId="3BDED34F" w14:textId="77777777" w:rsidR="00AA2D46" w:rsidRPr="00AA2D46" w:rsidRDefault="00AA2D46" w:rsidP="00455922">
      <w:pPr>
        <w:pStyle w:val="ListParagraph"/>
        <w:numPr>
          <w:ilvl w:val="0"/>
          <w:numId w:val="24"/>
        </w:numPr>
        <w:autoSpaceDE w:val="0"/>
        <w:autoSpaceDN w:val="0"/>
        <w:adjustRightInd w:val="0"/>
        <w:ind w:left="567" w:hanging="283"/>
        <w:contextualSpacing w:val="0"/>
        <w:jc w:val="both"/>
        <w:rPr>
          <w:rFonts w:ascii="Calibri" w:hAnsi="Calibri" w:cs="Calibri"/>
          <w:color w:val="000000"/>
        </w:rPr>
      </w:pPr>
      <w:r w:rsidRPr="00AA2D46">
        <w:rPr>
          <w:rFonts w:ascii="Calibri" w:hAnsi="Calibri" w:cs="Calibri"/>
          <w:b/>
          <w:bCs/>
          <w:color w:val="000000"/>
        </w:rPr>
        <w:t xml:space="preserve">Introduce a £1.5 million upper limit in order to target the relief appropriately to SMEs </w:t>
      </w:r>
    </w:p>
    <w:p w14:paraId="6E5D53DD" w14:textId="176486FB" w:rsidR="00AA2D46" w:rsidRDefault="00AA2D46" w:rsidP="001A2F6F">
      <w:pPr>
        <w:autoSpaceDE w:val="0"/>
        <w:autoSpaceDN w:val="0"/>
        <w:adjustRightInd w:val="0"/>
        <w:ind w:left="567"/>
        <w:jc w:val="both"/>
        <w:rPr>
          <w:rFonts w:ascii="Calibri" w:hAnsi="Calibri" w:cs="Calibri"/>
          <w:color w:val="000000"/>
        </w:rPr>
      </w:pPr>
      <w:r>
        <w:rPr>
          <w:rFonts w:ascii="Calibri" w:hAnsi="Calibri" w:cs="Calibri"/>
          <w:color w:val="000000"/>
        </w:rPr>
        <w:t>Placing</w:t>
      </w:r>
      <w:r w:rsidRPr="00FE238B">
        <w:rPr>
          <w:rFonts w:ascii="Calibri" w:hAnsi="Calibri" w:cs="Calibri"/>
          <w:color w:val="000000"/>
        </w:rPr>
        <w:t xml:space="preserve"> a limit of £1.5 million on the costs incurred by a company for raising equity finance which would be eli</w:t>
      </w:r>
      <w:r>
        <w:rPr>
          <w:rFonts w:ascii="Calibri" w:hAnsi="Calibri" w:cs="Calibri"/>
          <w:color w:val="000000"/>
        </w:rPr>
        <w:t xml:space="preserve">gible for corporate tax relief would ensure that any relief is directed </w:t>
      </w:r>
      <w:r w:rsidRPr="00FE238B">
        <w:rPr>
          <w:rFonts w:ascii="Calibri" w:hAnsi="Calibri" w:cs="Calibri"/>
          <w:color w:val="000000"/>
        </w:rPr>
        <w:t>to mainly small and mid-size quoted companies</w:t>
      </w:r>
      <w:r>
        <w:rPr>
          <w:rFonts w:ascii="Calibri" w:hAnsi="Calibri" w:cs="Calibri"/>
          <w:color w:val="000000"/>
        </w:rPr>
        <w:t>, instead of larger listed entities.</w:t>
      </w:r>
      <w:r w:rsidRPr="00FE238B">
        <w:rPr>
          <w:rFonts w:ascii="Calibri" w:hAnsi="Calibri" w:cs="Calibri"/>
          <w:color w:val="000000"/>
        </w:rPr>
        <w:t xml:space="preserve"> </w:t>
      </w:r>
      <w:r w:rsidR="001A2F6F">
        <w:rPr>
          <w:rFonts w:ascii="Calibri" w:hAnsi="Calibri" w:cs="Calibri"/>
          <w:color w:val="000000"/>
        </w:rPr>
        <w:t>For the sake of simplicity</w:t>
      </w:r>
      <w:r w:rsidRPr="00FE238B">
        <w:rPr>
          <w:rFonts w:ascii="Calibri" w:hAnsi="Calibri" w:cs="Calibri"/>
          <w:color w:val="000000"/>
        </w:rPr>
        <w:t xml:space="preserve">, no issue size criteria should be attached to the relief. </w:t>
      </w:r>
    </w:p>
    <w:p w14:paraId="0D674125" w14:textId="77777777" w:rsidR="00AA2D46" w:rsidRPr="00AA2D46" w:rsidRDefault="00AA2D46" w:rsidP="00455922">
      <w:pPr>
        <w:pStyle w:val="ListParagraph"/>
        <w:numPr>
          <w:ilvl w:val="0"/>
          <w:numId w:val="24"/>
        </w:numPr>
        <w:autoSpaceDE w:val="0"/>
        <w:autoSpaceDN w:val="0"/>
        <w:adjustRightInd w:val="0"/>
        <w:ind w:left="568" w:hanging="284"/>
        <w:contextualSpacing w:val="0"/>
        <w:jc w:val="both"/>
        <w:rPr>
          <w:rFonts w:ascii="Calibri" w:hAnsi="Calibri" w:cs="Calibri"/>
          <w:color w:val="000000"/>
        </w:rPr>
      </w:pPr>
      <w:r w:rsidRPr="00AA2D46">
        <w:rPr>
          <w:rFonts w:ascii="Calibri" w:hAnsi="Calibri" w:cs="Calibri"/>
          <w:b/>
          <w:bCs/>
          <w:color w:val="000000"/>
        </w:rPr>
        <w:t xml:space="preserve">Allow the relief to be applicable </w:t>
      </w:r>
      <w:r w:rsidR="001A2F6F">
        <w:rPr>
          <w:rFonts w:ascii="Calibri" w:hAnsi="Calibri" w:cs="Calibri"/>
          <w:b/>
          <w:bCs/>
          <w:color w:val="000000"/>
        </w:rPr>
        <w:t>to</w:t>
      </w:r>
      <w:r w:rsidRPr="00AA2D46">
        <w:rPr>
          <w:rFonts w:ascii="Calibri" w:hAnsi="Calibri" w:cs="Calibri"/>
          <w:b/>
          <w:bCs/>
          <w:color w:val="000000"/>
        </w:rPr>
        <w:t xml:space="preserve"> both IPO and secondary fundraisings </w:t>
      </w:r>
    </w:p>
    <w:p w14:paraId="6789473A" w14:textId="5A1CEC3C" w:rsidR="00AA2D46" w:rsidRPr="00FE238B" w:rsidRDefault="0015726C" w:rsidP="001A2F6F">
      <w:pPr>
        <w:autoSpaceDE w:val="0"/>
        <w:autoSpaceDN w:val="0"/>
        <w:adjustRightInd w:val="0"/>
        <w:ind w:left="568"/>
        <w:jc w:val="both"/>
        <w:rPr>
          <w:rFonts w:ascii="Calibri" w:hAnsi="Calibri" w:cs="Calibri"/>
          <w:color w:val="000000"/>
        </w:rPr>
      </w:pPr>
      <w:r>
        <w:rPr>
          <w:rFonts w:ascii="Calibri" w:hAnsi="Calibri" w:cs="Calibri"/>
          <w:color w:val="000000"/>
        </w:rPr>
        <w:t>T</w:t>
      </w:r>
      <w:r w:rsidR="00AA2D46" w:rsidRPr="00FE238B">
        <w:rPr>
          <w:rFonts w:ascii="Calibri" w:hAnsi="Calibri" w:cs="Calibri"/>
          <w:color w:val="000000"/>
        </w:rPr>
        <w:t>he measure should</w:t>
      </w:r>
      <w:r>
        <w:rPr>
          <w:rFonts w:ascii="Calibri" w:hAnsi="Calibri" w:cs="Calibri"/>
          <w:color w:val="000000"/>
        </w:rPr>
        <w:t xml:space="preserve"> </w:t>
      </w:r>
      <w:r w:rsidR="00AA2D46" w:rsidRPr="00FE238B">
        <w:rPr>
          <w:rFonts w:ascii="Calibri" w:hAnsi="Calibri" w:cs="Calibri"/>
          <w:color w:val="000000"/>
        </w:rPr>
        <w:t>target costs arising from any fundraising</w:t>
      </w:r>
      <w:r w:rsidR="00C203B9">
        <w:rPr>
          <w:rFonts w:ascii="Calibri" w:hAnsi="Calibri" w:cs="Calibri"/>
          <w:color w:val="000000"/>
        </w:rPr>
        <w:t xml:space="preserve"> or </w:t>
      </w:r>
      <w:r w:rsidR="00AA2D46" w:rsidRPr="00FE238B">
        <w:rPr>
          <w:rFonts w:ascii="Calibri" w:hAnsi="Calibri" w:cs="Calibri"/>
          <w:color w:val="000000"/>
        </w:rPr>
        <w:t xml:space="preserve">issuance event, thus including both new (IPOs) and further issues (secondary fundraisings), subject to the £1.5 million threshold mentioned above. </w:t>
      </w:r>
    </w:p>
    <w:p w14:paraId="3747BE89" w14:textId="77777777" w:rsidR="0017479E" w:rsidRPr="000932D3" w:rsidRDefault="0017479E" w:rsidP="0017479E">
      <w:pPr>
        <w:pStyle w:val="ListParagraph"/>
        <w:numPr>
          <w:ilvl w:val="0"/>
          <w:numId w:val="24"/>
        </w:numPr>
        <w:autoSpaceDE w:val="0"/>
        <w:autoSpaceDN w:val="0"/>
        <w:adjustRightInd w:val="0"/>
        <w:ind w:left="568" w:hanging="284"/>
        <w:contextualSpacing w:val="0"/>
        <w:jc w:val="both"/>
        <w:rPr>
          <w:rFonts w:ascii="Calibri" w:hAnsi="Calibri" w:cs="Calibri"/>
          <w:color w:val="FF0000"/>
        </w:rPr>
      </w:pPr>
      <w:r w:rsidRPr="000932D3">
        <w:rPr>
          <w:rFonts w:ascii="Calibri" w:hAnsi="Calibri" w:cs="Calibri"/>
          <w:b/>
          <w:color w:val="FF0000"/>
        </w:rPr>
        <w:t>Allow the relief to the extent that the equity finance supports business activities</w:t>
      </w:r>
    </w:p>
    <w:p w14:paraId="07F1C3A1" w14:textId="1B8B45FA" w:rsidR="0017479E" w:rsidRPr="000932D3" w:rsidRDefault="0017479E" w:rsidP="0017479E">
      <w:pPr>
        <w:pStyle w:val="ListParagraph"/>
        <w:autoSpaceDE w:val="0"/>
        <w:autoSpaceDN w:val="0"/>
        <w:adjustRightInd w:val="0"/>
        <w:ind w:left="568"/>
        <w:contextualSpacing w:val="0"/>
        <w:jc w:val="both"/>
        <w:rPr>
          <w:rFonts w:ascii="Calibri" w:hAnsi="Calibri" w:cs="Calibri"/>
          <w:color w:val="FF0000"/>
        </w:rPr>
      </w:pPr>
      <w:r w:rsidRPr="000932D3">
        <w:rPr>
          <w:rFonts w:ascii="Calibri" w:hAnsi="Calibri" w:cs="Calibri"/>
          <w:color w:val="FF0000"/>
        </w:rPr>
        <w:t xml:space="preserve">It is understood that the principal reason that </w:t>
      </w:r>
      <w:r w:rsidR="00AE49A6">
        <w:rPr>
          <w:rFonts w:ascii="Calibri" w:hAnsi="Calibri" w:cs="Calibri"/>
          <w:color w:val="FF0000"/>
        </w:rPr>
        <w:t xml:space="preserve">the </w:t>
      </w:r>
      <w:r w:rsidRPr="000932D3">
        <w:rPr>
          <w:rFonts w:ascii="Calibri" w:hAnsi="Calibri" w:cs="Calibri"/>
          <w:color w:val="FF0000"/>
        </w:rPr>
        <w:t>costs of raising equity are not currently deductible is due to the UK’s longstanding policy that “capital costs are not deductible for corporate tax purposes (see BIM42510)</w:t>
      </w:r>
      <w:r w:rsidR="00253FA7">
        <w:rPr>
          <w:rFonts w:ascii="Calibri" w:hAnsi="Calibri" w:cs="Calibri"/>
          <w:color w:val="FF0000"/>
        </w:rPr>
        <w:t>.</w:t>
      </w:r>
    </w:p>
    <w:p w14:paraId="17E34153" w14:textId="77777777" w:rsidR="00F6484B" w:rsidRPr="000932D3" w:rsidRDefault="0017479E" w:rsidP="00F6484B">
      <w:pPr>
        <w:pStyle w:val="ListParagraph"/>
        <w:autoSpaceDE w:val="0"/>
        <w:autoSpaceDN w:val="0"/>
        <w:adjustRightInd w:val="0"/>
        <w:ind w:left="568"/>
        <w:contextualSpacing w:val="0"/>
        <w:jc w:val="both"/>
        <w:rPr>
          <w:rFonts w:ascii="Calibri" w:hAnsi="Calibri" w:cs="Calibri"/>
          <w:color w:val="FF0000"/>
        </w:rPr>
      </w:pPr>
      <w:r w:rsidRPr="000932D3">
        <w:rPr>
          <w:rFonts w:ascii="Calibri" w:hAnsi="Calibri" w:cs="Calibri"/>
          <w:color w:val="FF0000"/>
        </w:rPr>
        <w:t xml:space="preserve">However, </w:t>
      </w:r>
      <w:r w:rsidR="00F6484B" w:rsidRPr="000932D3">
        <w:rPr>
          <w:rFonts w:ascii="Calibri" w:hAnsi="Calibri" w:cs="Calibri"/>
          <w:color w:val="FF0000"/>
        </w:rPr>
        <w:t>the bias against “capital” within the corporate tax code derives from court decision in the early part of the 20</w:t>
      </w:r>
      <w:r w:rsidR="00F6484B" w:rsidRPr="000932D3">
        <w:rPr>
          <w:rFonts w:ascii="Calibri" w:hAnsi="Calibri" w:cs="Calibri"/>
          <w:color w:val="FF0000"/>
          <w:vertAlign w:val="superscript"/>
        </w:rPr>
        <w:t>th</w:t>
      </w:r>
      <w:r w:rsidR="00F6484B" w:rsidRPr="000932D3">
        <w:rPr>
          <w:rFonts w:ascii="Calibri" w:hAnsi="Calibri" w:cs="Calibri"/>
          <w:color w:val="FF0000"/>
        </w:rPr>
        <w:t xml:space="preserve"> century, and it is not clear that this policy position remains appropriate for modern business taking place in the 21</w:t>
      </w:r>
      <w:r w:rsidR="00F6484B" w:rsidRPr="000932D3">
        <w:rPr>
          <w:rFonts w:ascii="Calibri" w:hAnsi="Calibri" w:cs="Calibri"/>
          <w:color w:val="FF0000"/>
          <w:vertAlign w:val="superscript"/>
        </w:rPr>
        <w:t>st</w:t>
      </w:r>
      <w:r w:rsidR="00F6484B" w:rsidRPr="000932D3">
        <w:rPr>
          <w:rFonts w:ascii="Calibri" w:hAnsi="Calibri" w:cs="Calibri"/>
          <w:color w:val="FF0000"/>
        </w:rPr>
        <w:t xml:space="preserve"> century, especially where the funds raised are deployed to support the active business activities of the fund-raising company. </w:t>
      </w:r>
    </w:p>
    <w:p w14:paraId="107F60E7" w14:textId="77777777" w:rsidR="00F6484B" w:rsidRPr="000932D3" w:rsidRDefault="00F6484B" w:rsidP="00F6484B">
      <w:pPr>
        <w:pStyle w:val="ListParagraph"/>
        <w:autoSpaceDE w:val="0"/>
        <w:autoSpaceDN w:val="0"/>
        <w:adjustRightInd w:val="0"/>
        <w:ind w:left="568"/>
        <w:contextualSpacing w:val="0"/>
        <w:jc w:val="both"/>
        <w:rPr>
          <w:rFonts w:ascii="Calibri" w:hAnsi="Calibri" w:cs="Calibri"/>
          <w:color w:val="FF0000"/>
        </w:rPr>
      </w:pPr>
      <w:r w:rsidRPr="000932D3">
        <w:rPr>
          <w:rFonts w:ascii="Calibri" w:hAnsi="Calibri" w:cs="Calibri"/>
          <w:color w:val="FF0000"/>
        </w:rPr>
        <w:t>In particular, it is noted that both the Loan Relationship code (</w:t>
      </w:r>
      <w:proofErr w:type="gramStart"/>
      <w:r w:rsidRPr="000932D3">
        <w:rPr>
          <w:rFonts w:ascii="Calibri" w:hAnsi="Calibri" w:cs="Calibri"/>
          <w:color w:val="FF0000"/>
        </w:rPr>
        <w:t>s.293(</w:t>
      </w:r>
      <w:proofErr w:type="gramEnd"/>
      <w:r w:rsidRPr="000932D3">
        <w:rPr>
          <w:rFonts w:ascii="Calibri" w:hAnsi="Calibri" w:cs="Calibri"/>
          <w:color w:val="FF0000"/>
        </w:rPr>
        <w:t xml:space="preserve">3) CTA 2009) and the Intangible Asset code (see CIRD10120) explicitly ignore the significance of “capital” in establishing whether an item of expenditure is deductible for corporate tax purposes. These two regimes, established in 1996 and 2002 respectively, demonstrate a more modern approach to corporation tax, and it is considered </w:t>
      </w:r>
      <w:r w:rsidRPr="000932D3">
        <w:rPr>
          <w:rFonts w:ascii="Calibri" w:hAnsi="Calibri" w:cs="Calibri"/>
          <w:color w:val="FF0000"/>
        </w:rPr>
        <w:lastRenderedPageBreak/>
        <w:t>that the UK should seek to move away from an anachronistic bias against companies incurring expenditure for the purposes of raising “capital”.</w:t>
      </w:r>
    </w:p>
    <w:p w14:paraId="18C3B77A" w14:textId="2A09CD91" w:rsidR="00F6484B" w:rsidRPr="00F6484B" w:rsidRDefault="00F6484B" w:rsidP="00F6484B">
      <w:pPr>
        <w:pStyle w:val="ListParagraph"/>
        <w:autoSpaceDE w:val="0"/>
        <w:autoSpaceDN w:val="0"/>
        <w:adjustRightInd w:val="0"/>
        <w:ind w:left="568"/>
        <w:contextualSpacing w:val="0"/>
        <w:jc w:val="both"/>
        <w:rPr>
          <w:rFonts w:ascii="Calibri" w:hAnsi="Calibri" w:cs="Calibri"/>
          <w:color w:val="000000"/>
        </w:rPr>
      </w:pPr>
      <w:r w:rsidRPr="00F6484B">
        <w:rPr>
          <w:rFonts w:ascii="Calibri" w:hAnsi="Calibri" w:cs="Calibri"/>
          <w:color w:val="000000"/>
        </w:rPr>
        <w:t xml:space="preserve">For policy reasons, it would be important to target the relief to issuances where funds will be employed in a business, </w:t>
      </w:r>
      <w:r w:rsidRPr="000932D3">
        <w:rPr>
          <w:rFonts w:ascii="Calibri" w:hAnsi="Calibri" w:cs="Calibri"/>
          <w:color w:val="FF0000"/>
        </w:rPr>
        <w:t xml:space="preserve">but this should be a straightforward legislative measure. For example, a “wholly and exclusively” style rule could be adopted to ensure that </w:t>
      </w:r>
      <w:r w:rsidRPr="00F6484B">
        <w:rPr>
          <w:rFonts w:ascii="Calibri" w:hAnsi="Calibri" w:cs="Calibri"/>
          <w:color w:val="000000"/>
        </w:rPr>
        <w:t xml:space="preserve">no corporate tax relief is available where funds raised are ultimately received solely/mainly by existing shareholders. </w:t>
      </w:r>
    </w:p>
    <w:p w14:paraId="4794D98D" w14:textId="5665516E" w:rsidR="00AA2D46" w:rsidRPr="0017479E" w:rsidRDefault="00AA2D46" w:rsidP="0017479E">
      <w:pPr>
        <w:pStyle w:val="ListParagraph"/>
        <w:numPr>
          <w:ilvl w:val="0"/>
          <w:numId w:val="24"/>
        </w:numPr>
        <w:autoSpaceDE w:val="0"/>
        <w:autoSpaceDN w:val="0"/>
        <w:adjustRightInd w:val="0"/>
        <w:ind w:left="568" w:hanging="284"/>
        <w:contextualSpacing w:val="0"/>
        <w:jc w:val="both"/>
        <w:rPr>
          <w:rFonts w:ascii="Calibri" w:hAnsi="Calibri" w:cs="Calibri"/>
          <w:color w:val="000000"/>
        </w:rPr>
      </w:pPr>
      <w:r w:rsidRPr="0017479E">
        <w:rPr>
          <w:rFonts w:ascii="Calibri" w:hAnsi="Calibri" w:cs="Calibri"/>
          <w:b/>
          <w:bCs/>
          <w:color w:val="000000"/>
        </w:rPr>
        <w:t xml:space="preserve">Allow all types of fundraising costs associated with raising equity to be deductible </w:t>
      </w:r>
    </w:p>
    <w:p w14:paraId="7F021B66" w14:textId="77777777" w:rsidR="001A2F6F" w:rsidRDefault="001A2F6F" w:rsidP="001A2F6F">
      <w:pPr>
        <w:autoSpaceDE w:val="0"/>
        <w:autoSpaceDN w:val="0"/>
        <w:adjustRightInd w:val="0"/>
        <w:ind w:left="568"/>
        <w:jc w:val="both"/>
        <w:rPr>
          <w:rFonts w:ascii="Calibri" w:hAnsi="Calibri" w:cs="Calibri"/>
          <w:color w:val="000000"/>
        </w:rPr>
      </w:pPr>
      <w:r>
        <w:rPr>
          <w:rFonts w:ascii="Calibri" w:hAnsi="Calibri" w:cs="Calibri"/>
          <w:color w:val="000000"/>
        </w:rPr>
        <w:t>A</w:t>
      </w:r>
      <w:r w:rsidR="00AA2D46" w:rsidRPr="00FE238B">
        <w:rPr>
          <w:rFonts w:ascii="Calibri" w:hAnsi="Calibri" w:cs="Calibri"/>
          <w:color w:val="000000"/>
        </w:rPr>
        <w:t xml:space="preserve">ll types of fundraising costs associated with raising equity (e.g. underwriting fees, professional advisors’ fees, direct listing costs, marketing costs, </w:t>
      </w:r>
      <w:r w:rsidR="00AA2D46">
        <w:rPr>
          <w:rFonts w:ascii="Calibri" w:hAnsi="Calibri" w:cs="Calibri"/>
          <w:color w:val="000000"/>
        </w:rPr>
        <w:t>public relations</w:t>
      </w:r>
      <w:r w:rsidR="00AA2D46" w:rsidRPr="00FE238B">
        <w:rPr>
          <w:rFonts w:ascii="Calibri" w:hAnsi="Calibri" w:cs="Calibri"/>
          <w:color w:val="000000"/>
        </w:rPr>
        <w:t>) should be allowed for the purposes of this measure, subject to the £1.5 million threshold mentioned above.</w:t>
      </w:r>
      <w:r>
        <w:rPr>
          <w:rFonts w:ascii="Calibri" w:hAnsi="Calibri" w:cs="Calibri"/>
          <w:color w:val="000000"/>
        </w:rPr>
        <w:t xml:space="preserve"> </w:t>
      </w:r>
    </w:p>
    <w:p w14:paraId="0EE20647" w14:textId="55FBD9CF" w:rsidR="00AA2D46" w:rsidRDefault="001A2F6F" w:rsidP="001A2F6F">
      <w:pPr>
        <w:autoSpaceDE w:val="0"/>
        <w:autoSpaceDN w:val="0"/>
        <w:adjustRightInd w:val="0"/>
        <w:ind w:left="568"/>
        <w:jc w:val="both"/>
        <w:rPr>
          <w:rFonts w:ascii="Calibri" w:hAnsi="Calibri" w:cs="Calibri"/>
          <w:color w:val="000000"/>
        </w:rPr>
      </w:pPr>
      <w:r>
        <w:rPr>
          <w:rFonts w:ascii="Calibri" w:hAnsi="Calibri" w:cs="Calibri"/>
          <w:color w:val="000000"/>
        </w:rPr>
        <w:t>Tables 1</w:t>
      </w:r>
      <w:r w:rsidR="00AA2D46">
        <w:rPr>
          <w:rFonts w:ascii="Calibri" w:hAnsi="Calibri" w:cs="Calibri"/>
          <w:color w:val="000000"/>
        </w:rPr>
        <w:t xml:space="preserve"> and </w:t>
      </w:r>
      <w:r>
        <w:rPr>
          <w:rFonts w:ascii="Calibri" w:hAnsi="Calibri" w:cs="Calibri"/>
          <w:color w:val="000000"/>
        </w:rPr>
        <w:t>2</w:t>
      </w:r>
      <w:r w:rsidR="00AA2D46" w:rsidRPr="00FE238B">
        <w:rPr>
          <w:rFonts w:ascii="Calibri" w:hAnsi="Calibri" w:cs="Calibri"/>
          <w:color w:val="000000"/>
        </w:rPr>
        <w:t xml:space="preserve"> </w:t>
      </w:r>
      <w:r w:rsidR="00C203B9">
        <w:rPr>
          <w:rFonts w:ascii="Calibri" w:hAnsi="Calibri" w:cs="Calibri"/>
          <w:color w:val="000000"/>
        </w:rPr>
        <w:t>provide a template for the array of</w:t>
      </w:r>
      <w:r w:rsidR="00AA2D46" w:rsidRPr="00FE238B">
        <w:rPr>
          <w:rFonts w:ascii="Calibri" w:hAnsi="Calibri" w:cs="Calibri"/>
          <w:color w:val="000000"/>
        </w:rPr>
        <w:t xml:space="preserve"> professional costs associated with a company seeking an AIM quotation and the annual costs associated</w:t>
      </w:r>
      <w:r w:rsidR="00AA2D46">
        <w:rPr>
          <w:rFonts w:ascii="Calibri" w:hAnsi="Calibri" w:cs="Calibri"/>
          <w:color w:val="000000"/>
        </w:rPr>
        <w:t xml:space="preserve"> with maintaining that quotation</w:t>
      </w:r>
      <w:r w:rsidR="00AA2D46" w:rsidRPr="00FE238B">
        <w:rPr>
          <w:rFonts w:ascii="Calibri" w:hAnsi="Calibri" w:cs="Calibri"/>
          <w:color w:val="000000"/>
        </w:rPr>
        <w:t xml:space="preserve">. </w:t>
      </w:r>
    </w:p>
    <w:p w14:paraId="646F124C" w14:textId="77777777" w:rsidR="00AA2D46" w:rsidRPr="0055639D" w:rsidRDefault="00AA2D46" w:rsidP="00AA2D46">
      <w:pPr>
        <w:jc w:val="both"/>
        <w:rPr>
          <w:rFonts w:ascii="Calibri" w:hAnsi="Calibri" w:cs="Calibri"/>
        </w:rPr>
      </w:pPr>
      <w:r w:rsidRPr="0055639D">
        <w:rPr>
          <w:b/>
          <w:bCs/>
        </w:rPr>
        <w:t>Tabl</w:t>
      </w:r>
      <w:r w:rsidR="001A2F6F">
        <w:rPr>
          <w:b/>
          <w:bCs/>
        </w:rPr>
        <w:t>e 1</w:t>
      </w:r>
      <w:r w:rsidRPr="0055639D">
        <w:rPr>
          <w:b/>
          <w:bCs/>
        </w:rPr>
        <w:t xml:space="preserve"> – Estimated Costs of Floating on AIM</w:t>
      </w:r>
      <w:r w:rsidRPr="0055639D">
        <w:rPr>
          <w:rStyle w:val="FootnoteReference"/>
          <w:b/>
          <w:bCs/>
        </w:rPr>
        <w:footnoteReference w:id="12"/>
      </w:r>
    </w:p>
    <w:tbl>
      <w:tblPr>
        <w:tblStyle w:val="TableGrid"/>
        <w:tblW w:w="0" w:type="auto"/>
        <w:tblLook w:val="04A0" w:firstRow="1" w:lastRow="0" w:firstColumn="1" w:lastColumn="0" w:noHBand="0" w:noVBand="1"/>
      </w:tblPr>
      <w:tblGrid>
        <w:gridCol w:w="4824"/>
        <w:gridCol w:w="4804"/>
      </w:tblGrid>
      <w:tr w:rsidR="00AA2D46" w:rsidRPr="0055639D" w14:paraId="2AA77BA2" w14:textId="77777777" w:rsidTr="0017626E">
        <w:tc>
          <w:tcPr>
            <w:tcW w:w="4981" w:type="dxa"/>
          </w:tcPr>
          <w:p w14:paraId="141DDFCE" w14:textId="77777777" w:rsidR="00AA2D46" w:rsidRPr="0055639D" w:rsidRDefault="00AA2D46" w:rsidP="001A2F6F">
            <w:pPr>
              <w:spacing w:before="40" w:after="40"/>
              <w:jc w:val="both"/>
              <w:rPr>
                <w:rFonts w:cs="Calibri"/>
              </w:rPr>
            </w:pPr>
            <w:r w:rsidRPr="0055639D">
              <w:rPr>
                <w:rFonts w:cs="Calibri"/>
              </w:rPr>
              <w:t>Reporting accountants</w:t>
            </w:r>
          </w:p>
        </w:tc>
        <w:tc>
          <w:tcPr>
            <w:tcW w:w="4981" w:type="dxa"/>
          </w:tcPr>
          <w:p w14:paraId="591F8E6B" w14:textId="77777777" w:rsidR="00AA2D46" w:rsidRPr="0055639D" w:rsidRDefault="00AA2D46" w:rsidP="001A2F6F">
            <w:pPr>
              <w:spacing w:before="40" w:after="40"/>
              <w:jc w:val="both"/>
              <w:rPr>
                <w:rFonts w:cs="Calibri"/>
              </w:rPr>
            </w:pPr>
            <w:r w:rsidRPr="0055639D">
              <w:rPr>
                <w:rFonts w:cs="Calibri"/>
              </w:rPr>
              <w:t>£</w:t>
            </w:r>
            <w:r>
              <w:rPr>
                <w:rFonts w:cs="Calibri"/>
              </w:rPr>
              <w:t>100,000 - £120,000</w:t>
            </w:r>
          </w:p>
        </w:tc>
      </w:tr>
      <w:tr w:rsidR="00AA2D46" w:rsidRPr="0055639D" w14:paraId="0862FF11" w14:textId="77777777" w:rsidTr="0017626E">
        <w:tc>
          <w:tcPr>
            <w:tcW w:w="4981" w:type="dxa"/>
          </w:tcPr>
          <w:p w14:paraId="763ECABE" w14:textId="77777777" w:rsidR="00AA2D46" w:rsidRPr="0055639D" w:rsidRDefault="00AA2D46" w:rsidP="001A2F6F">
            <w:pPr>
              <w:spacing w:before="40" w:after="40"/>
              <w:jc w:val="both"/>
              <w:rPr>
                <w:rFonts w:cs="Calibri"/>
              </w:rPr>
            </w:pPr>
            <w:r w:rsidRPr="0055639D">
              <w:rPr>
                <w:rFonts w:cs="Calibri"/>
              </w:rPr>
              <w:t>Company lawyers</w:t>
            </w:r>
            <w:r w:rsidRPr="0055639D">
              <w:rPr>
                <w:rStyle w:val="FootnoteReference"/>
                <w:rFonts w:cs="Calibri"/>
              </w:rPr>
              <w:footnoteReference w:id="13"/>
            </w:r>
          </w:p>
        </w:tc>
        <w:tc>
          <w:tcPr>
            <w:tcW w:w="4981" w:type="dxa"/>
          </w:tcPr>
          <w:p w14:paraId="61F4D382" w14:textId="77777777" w:rsidR="00AA2D46" w:rsidRPr="0055639D" w:rsidRDefault="00AA2D46" w:rsidP="001A2F6F">
            <w:pPr>
              <w:spacing w:before="40" w:after="40"/>
              <w:jc w:val="both"/>
              <w:rPr>
                <w:rFonts w:cs="Calibri"/>
              </w:rPr>
            </w:pPr>
            <w:r w:rsidRPr="0055639D">
              <w:rPr>
                <w:rFonts w:cs="Calibri"/>
              </w:rPr>
              <w:t>£</w:t>
            </w:r>
            <w:r>
              <w:rPr>
                <w:rFonts w:cs="Calibri"/>
              </w:rPr>
              <w:t>12</w:t>
            </w:r>
            <w:r w:rsidRPr="0055639D">
              <w:rPr>
                <w:rFonts w:cs="Calibri"/>
              </w:rPr>
              <w:t>0,000 - £1</w:t>
            </w:r>
            <w:r>
              <w:rPr>
                <w:rFonts w:cs="Calibri"/>
              </w:rPr>
              <w:t>8</w:t>
            </w:r>
            <w:r w:rsidRPr="0055639D">
              <w:rPr>
                <w:rFonts w:cs="Calibri"/>
              </w:rPr>
              <w:t>0,000</w:t>
            </w:r>
          </w:p>
        </w:tc>
      </w:tr>
      <w:tr w:rsidR="00AA2D46" w:rsidRPr="0055639D" w14:paraId="66F8F80A" w14:textId="77777777" w:rsidTr="0017626E">
        <w:tc>
          <w:tcPr>
            <w:tcW w:w="4981" w:type="dxa"/>
          </w:tcPr>
          <w:p w14:paraId="58DFE4AC" w14:textId="77777777" w:rsidR="00AA2D46" w:rsidRPr="0055639D" w:rsidRDefault="00AA2D46" w:rsidP="001A2F6F">
            <w:pPr>
              <w:spacing w:before="40" w:after="40"/>
              <w:jc w:val="both"/>
              <w:rPr>
                <w:rFonts w:cs="Calibri"/>
              </w:rPr>
            </w:pPr>
            <w:r w:rsidRPr="0055639D">
              <w:rPr>
                <w:rFonts w:cs="Calibri"/>
              </w:rPr>
              <w:t>Nominated adviser’s lawyers</w:t>
            </w:r>
          </w:p>
        </w:tc>
        <w:tc>
          <w:tcPr>
            <w:tcW w:w="4981" w:type="dxa"/>
          </w:tcPr>
          <w:p w14:paraId="20548EDA" w14:textId="77777777" w:rsidR="00AA2D46" w:rsidRPr="0055639D" w:rsidRDefault="00AA2D46" w:rsidP="001A2F6F">
            <w:pPr>
              <w:spacing w:before="40" w:after="40"/>
              <w:jc w:val="both"/>
              <w:rPr>
                <w:rFonts w:cs="Calibri"/>
              </w:rPr>
            </w:pPr>
            <w:r w:rsidRPr="0055639D">
              <w:rPr>
                <w:rFonts w:cs="Calibri"/>
              </w:rPr>
              <w:t>£</w:t>
            </w:r>
            <w:r>
              <w:rPr>
                <w:rFonts w:cs="Calibri"/>
              </w:rPr>
              <w:t>40</w:t>
            </w:r>
            <w:r w:rsidRPr="0055639D">
              <w:rPr>
                <w:rFonts w:cs="Calibri"/>
              </w:rPr>
              <w:t>,000 - £</w:t>
            </w:r>
            <w:r>
              <w:rPr>
                <w:rFonts w:cs="Calibri"/>
              </w:rPr>
              <w:t>6</w:t>
            </w:r>
            <w:r w:rsidRPr="0055639D">
              <w:rPr>
                <w:rFonts w:cs="Calibri"/>
              </w:rPr>
              <w:t>0,000</w:t>
            </w:r>
          </w:p>
        </w:tc>
      </w:tr>
      <w:tr w:rsidR="00AA2D46" w:rsidRPr="0055639D" w14:paraId="265E7C3C" w14:textId="77777777" w:rsidTr="0017626E">
        <w:tc>
          <w:tcPr>
            <w:tcW w:w="4981" w:type="dxa"/>
          </w:tcPr>
          <w:p w14:paraId="78509655" w14:textId="77777777" w:rsidR="00AA2D46" w:rsidRPr="0055639D" w:rsidRDefault="00AA2D46" w:rsidP="001A2F6F">
            <w:pPr>
              <w:spacing w:before="40" w:after="40"/>
              <w:jc w:val="both"/>
              <w:rPr>
                <w:rFonts w:cs="Calibri"/>
              </w:rPr>
            </w:pPr>
            <w:r w:rsidRPr="0055639D">
              <w:rPr>
                <w:rFonts w:cs="Calibri"/>
              </w:rPr>
              <w:t>Nominated adviser/broker corporate finance fee</w:t>
            </w:r>
            <w:r w:rsidRPr="0055639D">
              <w:rPr>
                <w:rStyle w:val="FootnoteReference"/>
                <w:rFonts w:cs="Calibri"/>
              </w:rPr>
              <w:footnoteReference w:id="14"/>
            </w:r>
          </w:p>
        </w:tc>
        <w:tc>
          <w:tcPr>
            <w:tcW w:w="4981" w:type="dxa"/>
          </w:tcPr>
          <w:p w14:paraId="46A44100" w14:textId="77777777" w:rsidR="00AA2D46" w:rsidRPr="0055639D" w:rsidRDefault="00AA2D46" w:rsidP="001A2F6F">
            <w:pPr>
              <w:spacing w:before="40" w:after="40"/>
              <w:jc w:val="both"/>
              <w:rPr>
                <w:rFonts w:cs="Calibri"/>
              </w:rPr>
            </w:pPr>
            <w:r w:rsidRPr="0055639D">
              <w:rPr>
                <w:rFonts w:cs="Calibri"/>
              </w:rPr>
              <w:t>£</w:t>
            </w:r>
            <w:r>
              <w:rPr>
                <w:rFonts w:cs="Calibri"/>
              </w:rPr>
              <w:t>10</w:t>
            </w:r>
            <w:r w:rsidRPr="0055639D">
              <w:rPr>
                <w:rFonts w:cs="Calibri"/>
              </w:rPr>
              <w:t>0,000 - £</w:t>
            </w:r>
            <w:r>
              <w:rPr>
                <w:rFonts w:cs="Calibri"/>
              </w:rPr>
              <w:t>2</w:t>
            </w:r>
            <w:r w:rsidRPr="0055639D">
              <w:rPr>
                <w:rFonts w:cs="Calibri"/>
              </w:rPr>
              <w:t>50,000</w:t>
            </w:r>
          </w:p>
        </w:tc>
      </w:tr>
      <w:tr w:rsidR="00AA2D46" w:rsidRPr="0055639D" w14:paraId="7BFAAF4F" w14:textId="77777777" w:rsidTr="0017626E">
        <w:tc>
          <w:tcPr>
            <w:tcW w:w="4981" w:type="dxa"/>
          </w:tcPr>
          <w:p w14:paraId="11D0DE78" w14:textId="77777777" w:rsidR="00AA2D46" w:rsidRPr="0055639D" w:rsidRDefault="00AA2D46" w:rsidP="001A2F6F">
            <w:pPr>
              <w:spacing w:before="40" w:after="40"/>
              <w:jc w:val="both"/>
              <w:rPr>
                <w:rFonts w:cs="Calibri"/>
              </w:rPr>
            </w:pPr>
            <w:r w:rsidRPr="0055639D">
              <w:rPr>
                <w:rFonts w:cs="Calibri"/>
              </w:rPr>
              <w:t>Broker’s commission</w:t>
            </w:r>
            <w:r w:rsidRPr="0055639D">
              <w:rPr>
                <w:rStyle w:val="FootnoteReference"/>
                <w:rFonts w:cs="Calibri"/>
              </w:rPr>
              <w:footnoteReference w:id="15"/>
            </w:r>
          </w:p>
        </w:tc>
        <w:tc>
          <w:tcPr>
            <w:tcW w:w="4981" w:type="dxa"/>
          </w:tcPr>
          <w:p w14:paraId="14F35ED0" w14:textId="77777777" w:rsidR="00AA2D46" w:rsidRPr="0055639D" w:rsidRDefault="00AA2D46" w:rsidP="001A2F6F">
            <w:pPr>
              <w:spacing w:before="40" w:after="40"/>
              <w:jc w:val="both"/>
              <w:rPr>
                <w:rFonts w:cs="Calibri"/>
              </w:rPr>
            </w:pPr>
            <w:r>
              <w:rPr>
                <w:rFonts w:cs="Calibri"/>
              </w:rPr>
              <w:t>3</w:t>
            </w:r>
            <w:r w:rsidRPr="0055639D">
              <w:rPr>
                <w:rFonts w:cs="Calibri"/>
              </w:rPr>
              <w:t xml:space="preserve">% - </w:t>
            </w:r>
            <w:r>
              <w:rPr>
                <w:rFonts w:cs="Calibri"/>
              </w:rPr>
              <w:t>4</w:t>
            </w:r>
            <w:r w:rsidRPr="0055639D">
              <w:rPr>
                <w:rFonts w:cs="Calibri"/>
              </w:rPr>
              <w:t>% of funds raised</w:t>
            </w:r>
          </w:p>
          <w:p w14:paraId="57891466" w14:textId="77777777" w:rsidR="00AA2D46" w:rsidRPr="0055639D" w:rsidRDefault="00AA2D46" w:rsidP="001A2F6F">
            <w:pPr>
              <w:spacing w:before="40" w:after="40"/>
              <w:jc w:val="both"/>
              <w:rPr>
                <w:rFonts w:cs="Calibri"/>
                <w:b/>
              </w:rPr>
            </w:pPr>
            <w:r w:rsidRPr="0055639D">
              <w:rPr>
                <w:rFonts w:cs="Calibri"/>
                <w:b/>
              </w:rPr>
              <w:t>or</w:t>
            </w:r>
          </w:p>
          <w:p w14:paraId="40E067CB" w14:textId="77777777" w:rsidR="00AA2D46" w:rsidRPr="0055639D" w:rsidRDefault="00AA2D46" w:rsidP="001A2F6F">
            <w:pPr>
              <w:spacing w:before="40" w:after="40"/>
              <w:jc w:val="both"/>
              <w:rPr>
                <w:rFonts w:cs="Calibri"/>
              </w:rPr>
            </w:pPr>
            <w:r w:rsidRPr="0055639D">
              <w:rPr>
                <w:rFonts w:cs="Calibri"/>
              </w:rPr>
              <w:t>0.5% - 1% of funds not raised</w:t>
            </w:r>
          </w:p>
        </w:tc>
      </w:tr>
      <w:tr w:rsidR="00AA2D46" w:rsidRPr="0055639D" w14:paraId="779B6AF3" w14:textId="77777777" w:rsidTr="0017626E">
        <w:tc>
          <w:tcPr>
            <w:tcW w:w="4981" w:type="dxa"/>
          </w:tcPr>
          <w:p w14:paraId="5B245E5C" w14:textId="77777777" w:rsidR="00AA2D46" w:rsidRPr="0055639D" w:rsidRDefault="00AA2D46" w:rsidP="001A2F6F">
            <w:pPr>
              <w:spacing w:before="40" w:after="40"/>
              <w:jc w:val="both"/>
              <w:rPr>
                <w:rFonts w:cs="Calibri"/>
              </w:rPr>
            </w:pPr>
            <w:r w:rsidRPr="0055639D">
              <w:rPr>
                <w:rFonts w:cs="Calibri"/>
              </w:rPr>
              <w:t>Printing</w:t>
            </w:r>
          </w:p>
        </w:tc>
        <w:tc>
          <w:tcPr>
            <w:tcW w:w="4981" w:type="dxa"/>
          </w:tcPr>
          <w:p w14:paraId="1D44E895" w14:textId="77777777" w:rsidR="00AA2D46" w:rsidRPr="0055639D" w:rsidRDefault="00AA2D46" w:rsidP="001A2F6F">
            <w:pPr>
              <w:spacing w:before="40" w:after="40"/>
              <w:jc w:val="both"/>
              <w:rPr>
                <w:rFonts w:cs="Calibri"/>
              </w:rPr>
            </w:pPr>
            <w:r w:rsidRPr="0055639D">
              <w:rPr>
                <w:rFonts w:cs="Calibri"/>
              </w:rPr>
              <w:t>£10,000</w:t>
            </w:r>
          </w:p>
        </w:tc>
      </w:tr>
      <w:tr w:rsidR="00AA2D46" w:rsidRPr="0055639D" w14:paraId="16F91B83" w14:textId="77777777" w:rsidTr="0017626E">
        <w:tc>
          <w:tcPr>
            <w:tcW w:w="4981" w:type="dxa"/>
          </w:tcPr>
          <w:p w14:paraId="2062EFC7" w14:textId="77777777" w:rsidR="00AA2D46" w:rsidRPr="0055639D" w:rsidRDefault="00AA2D46" w:rsidP="001A2F6F">
            <w:pPr>
              <w:spacing w:before="40" w:after="40"/>
              <w:jc w:val="both"/>
              <w:rPr>
                <w:rFonts w:cs="Calibri"/>
              </w:rPr>
            </w:pPr>
            <w:r w:rsidRPr="0055639D">
              <w:rPr>
                <w:rFonts w:cs="Calibri"/>
              </w:rPr>
              <w:t>Registrars</w:t>
            </w:r>
            <w:r w:rsidRPr="0055639D">
              <w:rPr>
                <w:rStyle w:val="FootnoteReference"/>
                <w:rFonts w:cs="Calibri"/>
              </w:rPr>
              <w:footnoteReference w:id="16"/>
            </w:r>
          </w:p>
        </w:tc>
        <w:tc>
          <w:tcPr>
            <w:tcW w:w="4981" w:type="dxa"/>
          </w:tcPr>
          <w:p w14:paraId="0E9576BE" w14:textId="77777777" w:rsidR="00AA2D46" w:rsidRPr="0055639D" w:rsidRDefault="00AA2D46" w:rsidP="001A2F6F">
            <w:pPr>
              <w:spacing w:before="40" w:after="40"/>
              <w:jc w:val="both"/>
              <w:rPr>
                <w:rFonts w:cs="Calibri"/>
              </w:rPr>
            </w:pPr>
            <w:r w:rsidRPr="0055639D">
              <w:rPr>
                <w:rFonts w:cs="Calibri"/>
              </w:rPr>
              <w:t>Minimum annual charge £4,000 - £5,000</w:t>
            </w:r>
          </w:p>
        </w:tc>
      </w:tr>
      <w:tr w:rsidR="00AA2D46" w:rsidRPr="0055639D" w14:paraId="6D698E20" w14:textId="77777777" w:rsidTr="0017626E">
        <w:tc>
          <w:tcPr>
            <w:tcW w:w="4981" w:type="dxa"/>
          </w:tcPr>
          <w:p w14:paraId="6DA124D0" w14:textId="77777777" w:rsidR="00AA2D46" w:rsidRPr="0055639D" w:rsidRDefault="00AA2D46" w:rsidP="001A2F6F">
            <w:pPr>
              <w:spacing w:before="40" w:after="40"/>
              <w:jc w:val="both"/>
              <w:rPr>
                <w:rFonts w:cs="Calibri"/>
              </w:rPr>
            </w:pPr>
            <w:r w:rsidRPr="0055639D">
              <w:rPr>
                <w:rFonts w:cs="Calibri"/>
              </w:rPr>
              <w:t>Public relations</w:t>
            </w:r>
          </w:p>
        </w:tc>
        <w:tc>
          <w:tcPr>
            <w:tcW w:w="4981" w:type="dxa"/>
          </w:tcPr>
          <w:p w14:paraId="5A0E308E" w14:textId="77777777" w:rsidR="00AA2D46" w:rsidRPr="0055639D" w:rsidRDefault="00AA2D46" w:rsidP="001A2F6F">
            <w:pPr>
              <w:spacing w:before="40" w:after="40"/>
              <w:jc w:val="both"/>
              <w:rPr>
                <w:rFonts w:cs="Calibri"/>
              </w:rPr>
            </w:pPr>
            <w:r w:rsidRPr="0055639D">
              <w:rPr>
                <w:rFonts w:cs="Calibri"/>
              </w:rPr>
              <w:t>£36,000 - £72.000</w:t>
            </w:r>
          </w:p>
        </w:tc>
      </w:tr>
      <w:tr w:rsidR="00AA2D46" w:rsidRPr="0055639D" w14:paraId="5A99318C" w14:textId="77777777" w:rsidTr="0017626E">
        <w:tc>
          <w:tcPr>
            <w:tcW w:w="4981" w:type="dxa"/>
          </w:tcPr>
          <w:p w14:paraId="057E59F7" w14:textId="77777777" w:rsidR="00AA2D46" w:rsidRPr="00681DDA" w:rsidRDefault="00AA2D46" w:rsidP="001A2F6F">
            <w:pPr>
              <w:spacing w:before="40" w:after="40"/>
              <w:jc w:val="both"/>
              <w:rPr>
                <w:rFonts w:cs="Calibri"/>
              </w:rPr>
            </w:pPr>
            <w:r w:rsidRPr="00681DDA">
              <w:rPr>
                <w:rFonts w:cs="Calibri"/>
              </w:rPr>
              <w:t>London Stock Exchange AIM admission fees</w:t>
            </w:r>
            <w:r w:rsidRPr="00681DDA">
              <w:rPr>
                <w:rStyle w:val="FootnoteReference"/>
                <w:rFonts w:cs="Calibri"/>
              </w:rPr>
              <w:footnoteReference w:id="17"/>
            </w:r>
          </w:p>
        </w:tc>
        <w:tc>
          <w:tcPr>
            <w:tcW w:w="4981" w:type="dxa"/>
          </w:tcPr>
          <w:p w14:paraId="5B4E016A" w14:textId="77777777" w:rsidR="00AA2D46" w:rsidRPr="00681DDA" w:rsidRDefault="00AA2D46" w:rsidP="001A2F6F">
            <w:pPr>
              <w:spacing w:before="40" w:after="40"/>
              <w:jc w:val="both"/>
              <w:rPr>
                <w:rFonts w:cs="Calibri"/>
              </w:rPr>
            </w:pPr>
            <w:r w:rsidRPr="00681DDA">
              <w:rPr>
                <w:rFonts w:cs="Calibri"/>
              </w:rPr>
              <w:t>£10,000 + VAT - £112,000 + VAT</w:t>
            </w:r>
          </w:p>
        </w:tc>
      </w:tr>
    </w:tbl>
    <w:p w14:paraId="420EB33B" w14:textId="77777777" w:rsidR="00AA2D46" w:rsidRPr="0055639D" w:rsidRDefault="00AA2D46" w:rsidP="00180EA0">
      <w:pPr>
        <w:spacing w:after="0"/>
        <w:jc w:val="both"/>
        <w:rPr>
          <w:rFonts w:ascii="Calibri" w:hAnsi="Calibri" w:cs="Calibri"/>
        </w:rPr>
      </w:pPr>
    </w:p>
    <w:p w14:paraId="48FEC370" w14:textId="77777777" w:rsidR="00AA2D46" w:rsidRPr="0055639D" w:rsidRDefault="00AA2D46" w:rsidP="00AA2D46">
      <w:pPr>
        <w:jc w:val="both"/>
        <w:rPr>
          <w:b/>
          <w:bCs/>
        </w:rPr>
      </w:pPr>
      <w:r w:rsidRPr="0055639D">
        <w:rPr>
          <w:rFonts w:ascii="Calibri" w:hAnsi="Calibri" w:cs="Calibri"/>
          <w:b/>
        </w:rPr>
        <w:t xml:space="preserve">Table </w:t>
      </w:r>
      <w:r w:rsidR="001A2F6F">
        <w:rPr>
          <w:rFonts w:ascii="Calibri" w:hAnsi="Calibri" w:cs="Calibri"/>
          <w:b/>
        </w:rPr>
        <w:t>2</w:t>
      </w:r>
      <w:r w:rsidRPr="0055639D">
        <w:rPr>
          <w:rFonts w:ascii="Calibri" w:hAnsi="Calibri" w:cs="Calibri"/>
          <w:b/>
        </w:rPr>
        <w:t xml:space="preserve"> – </w:t>
      </w:r>
      <w:r w:rsidRPr="0055639D">
        <w:rPr>
          <w:b/>
          <w:bCs/>
        </w:rPr>
        <w:t>Estimated Costs of Maintaining a Quotation on AIM</w:t>
      </w:r>
      <w:r w:rsidRPr="0055639D">
        <w:rPr>
          <w:rStyle w:val="FootnoteReference"/>
          <w:b/>
          <w:bCs/>
        </w:rPr>
        <w:footnoteReference w:id="18"/>
      </w:r>
    </w:p>
    <w:tbl>
      <w:tblPr>
        <w:tblStyle w:val="TableGrid"/>
        <w:tblW w:w="0" w:type="auto"/>
        <w:tblLook w:val="04A0" w:firstRow="1" w:lastRow="0" w:firstColumn="1" w:lastColumn="0" w:noHBand="0" w:noVBand="1"/>
      </w:tblPr>
      <w:tblGrid>
        <w:gridCol w:w="6002"/>
        <w:gridCol w:w="3626"/>
      </w:tblGrid>
      <w:tr w:rsidR="00AA2D46" w:rsidRPr="0055639D" w14:paraId="583A3354" w14:textId="77777777" w:rsidTr="0017626E">
        <w:tc>
          <w:tcPr>
            <w:tcW w:w="6204" w:type="dxa"/>
          </w:tcPr>
          <w:p w14:paraId="709C73D4" w14:textId="77777777" w:rsidR="00AA2D46" w:rsidRPr="0055639D" w:rsidRDefault="00AA2D46" w:rsidP="001A2F6F">
            <w:pPr>
              <w:spacing w:before="40" w:after="40"/>
              <w:jc w:val="both"/>
              <w:rPr>
                <w:rFonts w:cs="Calibri"/>
              </w:rPr>
            </w:pPr>
            <w:r w:rsidRPr="0055639D">
              <w:rPr>
                <w:rFonts w:cs="Calibri"/>
              </w:rPr>
              <w:t>Financial public relations</w:t>
            </w:r>
          </w:p>
        </w:tc>
        <w:tc>
          <w:tcPr>
            <w:tcW w:w="3758" w:type="dxa"/>
          </w:tcPr>
          <w:p w14:paraId="3D148B8B" w14:textId="77777777" w:rsidR="00AA2D46" w:rsidRPr="0055639D" w:rsidRDefault="00AA2D46" w:rsidP="001A2F6F">
            <w:pPr>
              <w:spacing w:before="40" w:after="40"/>
              <w:jc w:val="both"/>
              <w:rPr>
                <w:rFonts w:cs="Calibri"/>
              </w:rPr>
            </w:pPr>
            <w:r w:rsidRPr="0055639D">
              <w:rPr>
                <w:rFonts w:cs="Calibri"/>
              </w:rPr>
              <w:t>£</w:t>
            </w:r>
            <w:r>
              <w:rPr>
                <w:rFonts w:cs="Calibri"/>
              </w:rPr>
              <w:t>25,000 - £</w:t>
            </w:r>
            <w:r w:rsidRPr="0055639D">
              <w:rPr>
                <w:rFonts w:cs="Calibri"/>
              </w:rPr>
              <w:t>43,000</w:t>
            </w:r>
          </w:p>
        </w:tc>
      </w:tr>
      <w:tr w:rsidR="00AA2D46" w:rsidRPr="0055639D" w14:paraId="70765E80" w14:textId="77777777" w:rsidTr="0017626E">
        <w:tc>
          <w:tcPr>
            <w:tcW w:w="6204" w:type="dxa"/>
          </w:tcPr>
          <w:p w14:paraId="4BD00391" w14:textId="77777777" w:rsidR="00AA2D46" w:rsidRPr="0055639D" w:rsidRDefault="00AA2D46" w:rsidP="001A2F6F">
            <w:pPr>
              <w:spacing w:before="40" w:after="40"/>
              <w:jc w:val="both"/>
              <w:rPr>
                <w:rFonts w:cs="Calibri"/>
              </w:rPr>
            </w:pPr>
            <w:r w:rsidRPr="0055639D">
              <w:rPr>
                <w:rFonts w:cs="Calibri"/>
              </w:rPr>
              <w:t>Broker/nominated adviser annual fee (including analyst research</w:t>
            </w:r>
          </w:p>
        </w:tc>
        <w:tc>
          <w:tcPr>
            <w:tcW w:w="3758" w:type="dxa"/>
          </w:tcPr>
          <w:p w14:paraId="0625BAA7" w14:textId="77777777" w:rsidR="00AA2D46" w:rsidRPr="0055639D" w:rsidRDefault="00AA2D46" w:rsidP="001A2F6F">
            <w:pPr>
              <w:spacing w:before="40" w:after="40"/>
              <w:jc w:val="both"/>
              <w:rPr>
                <w:rFonts w:cs="Calibri"/>
              </w:rPr>
            </w:pPr>
            <w:r w:rsidRPr="0055639D">
              <w:rPr>
                <w:rFonts w:cs="Calibri"/>
              </w:rPr>
              <w:t>£</w:t>
            </w:r>
            <w:r>
              <w:rPr>
                <w:rFonts w:cs="Calibri"/>
              </w:rPr>
              <w:t>50</w:t>
            </w:r>
            <w:r w:rsidRPr="0055639D">
              <w:rPr>
                <w:rFonts w:cs="Calibri"/>
              </w:rPr>
              <w:t>,000 - £90,000</w:t>
            </w:r>
          </w:p>
        </w:tc>
      </w:tr>
      <w:tr w:rsidR="00AA2D46" w:rsidRPr="0055639D" w14:paraId="1A8441E0" w14:textId="77777777" w:rsidTr="0017626E">
        <w:tc>
          <w:tcPr>
            <w:tcW w:w="6204" w:type="dxa"/>
          </w:tcPr>
          <w:p w14:paraId="0814396F" w14:textId="77777777" w:rsidR="00AA2D46" w:rsidRPr="0055639D" w:rsidRDefault="00AA2D46" w:rsidP="001A2F6F">
            <w:pPr>
              <w:spacing w:before="40" w:after="40"/>
              <w:jc w:val="both"/>
              <w:rPr>
                <w:rFonts w:cs="Calibri"/>
              </w:rPr>
            </w:pPr>
            <w:r w:rsidRPr="0055639D">
              <w:rPr>
                <w:rFonts w:cs="Calibri"/>
              </w:rPr>
              <w:t>Investor relations press cutting service</w:t>
            </w:r>
          </w:p>
        </w:tc>
        <w:tc>
          <w:tcPr>
            <w:tcW w:w="3758" w:type="dxa"/>
          </w:tcPr>
          <w:p w14:paraId="0AEBFE37" w14:textId="77777777" w:rsidR="00AA2D46" w:rsidRPr="0055639D" w:rsidRDefault="00AA2D46" w:rsidP="001A2F6F">
            <w:pPr>
              <w:spacing w:before="40" w:after="40"/>
              <w:jc w:val="both"/>
              <w:rPr>
                <w:rFonts w:cs="Calibri"/>
              </w:rPr>
            </w:pPr>
            <w:r w:rsidRPr="0055639D">
              <w:rPr>
                <w:rFonts w:cs="Calibri"/>
              </w:rPr>
              <w:t>£5,400</w:t>
            </w:r>
          </w:p>
        </w:tc>
      </w:tr>
      <w:tr w:rsidR="00AA2D46" w:rsidRPr="0055639D" w14:paraId="21F44512" w14:textId="77777777" w:rsidTr="0017626E">
        <w:tc>
          <w:tcPr>
            <w:tcW w:w="6204" w:type="dxa"/>
          </w:tcPr>
          <w:p w14:paraId="5EDFE333" w14:textId="77777777" w:rsidR="00AA2D46" w:rsidRPr="0055639D" w:rsidRDefault="00AA2D46" w:rsidP="001A2F6F">
            <w:pPr>
              <w:spacing w:before="40" w:after="40"/>
              <w:jc w:val="both"/>
              <w:rPr>
                <w:rFonts w:cs="Calibri"/>
              </w:rPr>
            </w:pPr>
            <w:r w:rsidRPr="0055639D">
              <w:rPr>
                <w:rFonts w:cs="Calibri"/>
              </w:rPr>
              <w:t>Basic website service</w:t>
            </w:r>
          </w:p>
        </w:tc>
        <w:tc>
          <w:tcPr>
            <w:tcW w:w="3758" w:type="dxa"/>
          </w:tcPr>
          <w:p w14:paraId="4E1BF78A" w14:textId="77777777" w:rsidR="00AA2D46" w:rsidRPr="0055639D" w:rsidRDefault="00AA2D46" w:rsidP="001A2F6F">
            <w:pPr>
              <w:spacing w:before="40" w:after="40"/>
              <w:jc w:val="both"/>
              <w:rPr>
                <w:rFonts w:cs="Calibri"/>
              </w:rPr>
            </w:pPr>
            <w:r w:rsidRPr="0055639D">
              <w:rPr>
                <w:rFonts w:cs="Calibri"/>
              </w:rPr>
              <w:t>£6,000</w:t>
            </w:r>
          </w:p>
        </w:tc>
      </w:tr>
      <w:tr w:rsidR="00AA2D46" w:rsidRPr="0055639D" w14:paraId="0FD8D825" w14:textId="77777777" w:rsidTr="0017626E">
        <w:tc>
          <w:tcPr>
            <w:tcW w:w="6204" w:type="dxa"/>
          </w:tcPr>
          <w:p w14:paraId="330A9882" w14:textId="77777777" w:rsidR="00AA2D46" w:rsidRPr="0055639D" w:rsidRDefault="00AA2D46" w:rsidP="001A2F6F">
            <w:pPr>
              <w:spacing w:before="40" w:after="40"/>
              <w:jc w:val="both"/>
              <w:rPr>
                <w:rFonts w:cs="Calibri"/>
              </w:rPr>
            </w:pPr>
            <w:r w:rsidRPr="0055639D">
              <w:rPr>
                <w:rFonts w:cs="Calibri"/>
              </w:rPr>
              <w:lastRenderedPageBreak/>
              <w:t>London Stock Exchange Regulatory News Service</w:t>
            </w:r>
          </w:p>
        </w:tc>
        <w:tc>
          <w:tcPr>
            <w:tcW w:w="3758" w:type="dxa"/>
          </w:tcPr>
          <w:p w14:paraId="38898C51" w14:textId="77777777" w:rsidR="00AA2D46" w:rsidRPr="0055639D" w:rsidRDefault="00AA2D46" w:rsidP="001A2F6F">
            <w:pPr>
              <w:spacing w:before="40" w:after="40"/>
              <w:jc w:val="both"/>
              <w:rPr>
                <w:rFonts w:cs="Calibri"/>
              </w:rPr>
            </w:pPr>
            <w:r w:rsidRPr="0055639D">
              <w:rPr>
                <w:rFonts w:cs="Calibri"/>
              </w:rPr>
              <w:t>£13,500 - £25,000</w:t>
            </w:r>
          </w:p>
        </w:tc>
      </w:tr>
      <w:tr w:rsidR="00AA2D46" w:rsidRPr="0055639D" w14:paraId="20B9E6E4" w14:textId="77777777" w:rsidTr="0017626E">
        <w:tc>
          <w:tcPr>
            <w:tcW w:w="6204" w:type="dxa"/>
          </w:tcPr>
          <w:p w14:paraId="0CE8B951" w14:textId="77777777" w:rsidR="00AA2D46" w:rsidRPr="0055639D" w:rsidRDefault="00AA2D46" w:rsidP="001A2F6F">
            <w:pPr>
              <w:spacing w:before="40" w:after="40"/>
              <w:jc w:val="both"/>
              <w:rPr>
                <w:rFonts w:cs="Calibri"/>
              </w:rPr>
            </w:pPr>
            <w:r w:rsidRPr="0055639D">
              <w:rPr>
                <w:rFonts w:cs="Calibri"/>
              </w:rPr>
              <w:t>Analysis of share registrar</w:t>
            </w:r>
          </w:p>
        </w:tc>
        <w:tc>
          <w:tcPr>
            <w:tcW w:w="3758" w:type="dxa"/>
          </w:tcPr>
          <w:p w14:paraId="571A22E7" w14:textId="77777777" w:rsidR="00AA2D46" w:rsidRPr="0055639D" w:rsidRDefault="00AA2D46" w:rsidP="001A2F6F">
            <w:pPr>
              <w:spacing w:before="40" w:after="40"/>
              <w:jc w:val="both"/>
              <w:rPr>
                <w:rFonts w:cs="Calibri"/>
              </w:rPr>
            </w:pPr>
            <w:r w:rsidRPr="0055639D">
              <w:rPr>
                <w:rFonts w:cs="Calibri"/>
              </w:rPr>
              <w:t>£1,500</w:t>
            </w:r>
          </w:p>
        </w:tc>
      </w:tr>
      <w:tr w:rsidR="00AA2D46" w:rsidRPr="0055639D" w14:paraId="42A43D92" w14:textId="77777777" w:rsidTr="0017626E">
        <w:tc>
          <w:tcPr>
            <w:tcW w:w="6204" w:type="dxa"/>
          </w:tcPr>
          <w:p w14:paraId="16DB6CAE" w14:textId="77777777" w:rsidR="00AA2D46" w:rsidRPr="0055639D" w:rsidRDefault="00AA2D46" w:rsidP="001A2F6F">
            <w:pPr>
              <w:spacing w:before="40" w:after="40"/>
              <w:jc w:val="both"/>
              <w:rPr>
                <w:rFonts w:cs="Calibri"/>
              </w:rPr>
            </w:pPr>
            <w:r w:rsidRPr="0055639D">
              <w:rPr>
                <w:rFonts w:cs="Calibri"/>
              </w:rPr>
              <w:t>Registrar</w:t>
            </w:r>
          </w:p>
        </w:tc>
        <w:tc>
          <w:tcPr>
            <w:tcW w:w="3758" w:type="dxa"/>
          </w:tcPr>
          <w:p w14:paraId="7AE51D5C" w14:textId="77777777" w:rsidR="00AA2D46" w:rsidRPr="0055639D" w:rsidRDefault="00AA2D46" w:rsidP="001A2F6F">
            <w:pPr>
              <w:spacing w:before="40" w:after="40"/>
              <w:jc w:val="both"/>
              <w:rPr>
                <w:rFonts w:cs="Calibri"/>
              </w:rPr>
            </w:pPr>
            <w:r w:rsidRPr="0055639D">
              <w:rPr>
                <w:rFonts w:cs="Calibri"/>
              </w:rPr>
              <w:t>£8,500</w:t>
            </w:r>
          </w:p>
        </w:tc>
      </w:tr>
      <w:tr w:rsidR="00AA2D46" w:rsidRPr="0055639D" w14:paraId="5B98A387" w14:textId="77777777" w:rsidTr="0017626E">
        <w:tc>
          <w:tcPr>
            <w:tcW w:w="6204" w:type="dxa"/>
          </w:tcPr>
          <w:p w14:paraId="31DADA4A" w14:textId="77777777" w:rsidR="00AA2D46" w:rsidRPr="0055639D" w:rsidRDefault="00AA2D46" w:rsidP="001A2F6F">
            <w:pPr>
              <w:spacing w:before="40" w:after="40"/>
              <w:jc w:val="both"/>
              <w:rPr>
                <w:rFonts w:cs="Calibri"/>
              </w:rPr>
            </w:pPr>
            <w:r w:rsidRPr="0055639D">
              <w:rPr>
                <w:rFonts w:cs="Calibri"/>
              </w:rPr>
              <w:t>Auditors</w:t>
            </w:r>
          </w:p>
        </w:tc>
        <w:tc>
          <w:tcPr>
            <w:tcW w:w="3758" w:type="dxa"/>
          </w:tcPr>
          <w:p w14:paraId="33F510F7" w14:textId="77777777" w:rsidR="00AA2D46" w:rsidRPr="0055639D" w:rsidRDefault="00AA2D46" w:rsidP="001A2F6F">
            <w:pPr>
              <w:spacing w:before="40" w:after="40"/>
              <w:jc w:val="both"/>
              <w:rPr>
                <w:rFonts w:cs="Calibri"/>
              </w:rPr>
            </w:pPr>
            <w:r w:rsidRPr="0055639D">
              <w:rPr>
                <w:rFonts w:cs="Calibri"/>
              </w:rPr>
              <w:t>£10,000</w:t>
            </w:r>
          </w:p>
        </w:tc>
      </w:tr>
      <w:tr w:rsidR="00AA2D46" w:rsidRPr="0055639D" w14:paraId="1526B449" w14:textId="77777777" w:rsidTr="0017626E">
        <w:tc>
          <w:tcPr>
            <w:tcW w:w="6204" w:type="dxa"/>
          </w:tcPr>
          <w:p w14:paraId="09C65D0B" w14:textId="77777777" w:rsidR="00AA2D46" w:rsidRPr="0055639D" w:rsidRDefault="00AA2D46" w:rsidP="001A2F6F">
            <w:pPr>
              <w:spacing w:before="40" w:after="40"/>
              <w:jc w:val="both"/>
              <w:rPr>
                <w:rFonts w:cs="Calibri"/>
              </w:rPr>
            </w:pPr>
            <w:r>
              <w:rPr>
                <w:rFonts w:cs="Calibri"/>
              </w:rPr>
              <w:t>Legal advice on regulatory issues</w:t>
            </w:r>
          </w:p>
        </w:tc>
        <w:tc>
          <w:tcPr>
            <w:tcW w:w="3758" w:type="dxa"/>
          </w:tcPr>
          <w:p w14:paraId="19EC3129" w14:textId="77777777" w:rsidR="00AA2D46" w:rsidRPr="0055639D" w:rsidRDefault="00AA2D46" w:rsidP="001A2F6F">
            <w:pPr>
              <w:spacing w:before="40" w:after="40"/>
              <w:jc w:val="both"/>
              <w:rPr>
                <w:rFonts w:cs="Calibri"/>
              </w:rPr>
            </w:pPr>
            <w:r>
              <w:rPr>
                <w:rFonts w:cs="Calibri"/>
              </w:rPr>
              <w:t>£10,000 - £50,000</w:t>
            </w:r>
          </w:p>
        </w:tc>
      </w:tr>
      <w:tr w:rsidR="00AA2D46" w:rsidRPr="0055639D" w14:paraId="42C006CE" w14:textId="77777777" w:rsidTr="0017626E">
        <w:tc>
          <w:tcPr>
            <w:tcW w:w="6204" w:type="dxa"/>
          </w:tcPr>
          <w:p w14:paraId="08DF0574" w14:textId="77777777" w:rsidR="00AA2D46" w:rsidRPr="0055639D" w:rsidRDefault="00AA2D46" w:rsidP="001A2F6F">
            <w:pPr>
              <w:spacing w:before="40" w:after="40"/>
              <w:jc w:val="both"/>
              <w:rPr>
                <w:rFonts w:cs="Calibri"/>
              </w:rPr>
            </w:pPr>
            <w:r w:rsidRPr="0055639D">
              <w:rPr>
                <w:rFonts w:cs="Calibri"/>
              </w:rPr>
              <w:t>Annual report design</w:t>
            </w:r>
          </w:p>
        </w:tc>
        <w:tc>
          <w:tcPr>
            <w:tcW w:w="3758" w:type="dxa"/>
          </w:tcPr>
          <w:p w14:paraId="6EE0D7B4" w14:textId="77777777" w:rsidR="00AA2D46" w:rsidRPr="0055639D" w:rsidRDefault="00AA2D46" w:rsidP="001A2F6F">
            <w:pPr>
              <w:spacing w:before="40" w:after="40"/>
              <w:jc w:val="both"/>
              <w:rPr>
                <w:rFonts w:cs="Calibri"/>
              </w:rPr>
            </w:pPr>
            <w:r w:rsidRPr="0055639D">
              <w:rPr>
                <w:rFonts w:cs="Calibri"/>
              </w:rPr>
              <w:t>£5,500</w:t>
            </w:r>
          </w:p>
        </w:tc>
      </w:tr>
      <w:tr w:rsidR="00AA2D46" w:rsidRPr="0055639D" w14:paraId="5CB92726" w14:textId="77777777" w:rsidTr="0017626E">
        <w:tc>
          <w:tcPr>
            <w:tcW w:w="6204" w:type="dxa"/>
          </w:tcPr>
          <w:p w14:paraId="5BD1F4C3" w14:textId="77777777" w:rsidR="00AA2D46" w:rsidRPr="00681DDA" w:rsidRDefault="00AA2D46" w:rsidP="001A2F6F">
            <w:pPr>
              <w:spacing w:before="40" w:after="40"/>
              <w:jc w:val="both"/>
              <w:rPr>
                <w:rFonts w:cs="Calibri"/>
              </w:rPr>
            </w:pPr>
            <w:r w:rsidRPr="00681DDA">
              <w:rPr>
                <w:rFonts w:cs="Calibri"/>
              </w:rPr>
              <w:t>London Stock Exchange AIM annual fee</w:t>
            </w:r>
            <w:r w:rsidRPr="00681DDA">
              <w:rPr>
                <w:rStyle w:val="FootnoteReference"/>
                <w:rFonts w:cs="Calibri"/>
              </w:rPr>
              <w:footnoteReference w:id="19"/>
            </w:r>
          </w:p>
        </w:tc>
        <w:tc>
          <w:tcPr>
            <w:tcW w:w="3758" w:type="dxa"/>
          </w:tcPr>
          <w:p w14:paraId="20A7B435" w14:textId="77777777" w:rsidR="00AA2D46" w:rsidRPr="00681DDA" w:rsidRDefault="00AA2D46" w:rsidP="001A2F6F">
            <w:pPr>
              <w:spacing w:before="40" w:after="40"/>
              <w:jc w:val="both"/>
              <w:rPr>
                <w:rFonts w:cs="Calibri"/>
              </w:rPr>
            </w:pPr>
            <w:r w:rsidRPr="00681DDA">
              <w:rPr>
                <w:rFonts w:cs="Calibri"/>
              </w:rPr>
              <w:t>£7,900 - £75,000</w:t>
            </w:r>
          </w:p>
        </w:tc>
      </w:tr>
      <w:tr w:rsidR="00AA2D46" w:rsidRPr="0055639D" w14:paraId="65C4B193" w14:textId="77777777" w:rsidTr="0017626E">
        <w:tc>
          <w:tcPr>
            <w:tcW w:w="6204" w:type="dxa"/>
          </w:tcPr>
          <w:p w14:paraId="461FCB19" w14:textId="77777777" w:rsidR="00AA2D46" w:rsidRPr="00681DDA" w:rsidRDefault="00AA2D46" w:rsidP="001A2F6F">
            <w:pPr>
              <w:spacing w:before="40" w:after="40"/>
              <w:jc w:val="both"/>
              <w:rPr>
                <w:rFonts w:cs="Calibri"/>
              </w:rPr>
            </w:pPr>
            <w:r w:rsidRPr="00681DDA">
              <w:rPr>
                <w:rFonts w:cs="Calibri"/>
              </w:rPr>
              <w:t>London Stock Exchange AIM further issues fee</w:t>
            </w:r>
            <w:r w:rsidRPr="00681DDA">
              <w:rPr>
                <w:rStyle w:val="FootnoteReference"/>
                <w:rFonts w:cs="Calibri"/>
              </w:rPr>
              <w:footnoteReference w:id="20"/>
            </w:r>
          </w:p>
        </w:tc>
        <w:tc>
          <w:tcPr>
            <w:tcW w:w="3758" w:type="dxa"/>
          </w:tcPr>
          <w:p w14:paraId="4CBF664F" w14:textId="77777777" w:rsidR="00AA2D46" w:rsidRPr="00681DDA" w:rsidRDefault="00AA2D46" w:rsidP="001A2F6F">
            <w:pPr>
              <w:spacing w:before="40" w:after="40"/>
              <w:jc w:val="both"/>
              <w:rPr>
                <w:rFonts w:cs="Calibri"/>
              </w:rPr>
            </w:pPr>
            <w:r w:rsidRPr="00681DDA">
              <w:rPr>
                <w:rFonts w:cs="Calibri"/>
              </w:rPr>
              <w:t>£0 - £56,000</w:t>
            </w:r>
            <w:r>
              <w:rPr>
                <w:rFonts w:cs="Calibri"/>
              </w:rPr>
              <w:t xml:space="preserve"> + VAT</w:t>
            </w:r>
          </w:p>
        </w:tc>
      </w:tr>
      <w:tr w:rsidR="00AA2D46" w14:paraId="510C9137" w14:textId="77777777" w:rsidTr="0017626E">
        <w:tc>
          <w:tcPr>
            <w:tcW w:w="6204" w:type="dxa"/>
          </w:tcPr>
          <w:p w14:paraId="45DD3C2E" w14:textId="77777777" w:rsidR="00AA2D46" w:rsidRPr="0055639D" w:rsidRDefault="00AA2D46" w:rsidP="001A2F6F">
            <w:pPr>
              <w:spacing w:before="40" w:after="40"/>
              <w:jc w:val="both"/>
              <w:rPr>
                <w:rFonts w:cs="Calibri"/>
              </w:rPr>
            </w:pPr>
            <w:r w:rsidRPr="0055639D">
              <w:rPr>
                <w:rFonts w:cs="Calibri"/>
              </w:rPr>
              <w:t>Share option service</w:t>
            </w:r>
          </w:p>
        </w:tc>
        <w:tc>
          <w:tcPr>
            <w:tcW w:w="3758" w:type="dxa"/>
          </w:tcPr>
          <w:p w14:paraId="535A7A24" w14:textId="77777777" w:rsidR="00AA2D46" w:rsidRPr="0055639D" w:rsidRDefault="00AA2D46" w:rsidP="001A2F6F">
            <w:pPr>
              <w:spacing w:before="40" w:after="40"/>
              <w:jc w:val="both"/>
              <w:rPr>
                <w:rFonts w:cs="Calibri"/>
              </w:rPr>
            </w:pPr>
            <w:r w:rsidRPr="0055639D">
              <w:rPr>
                <w:rFonts w:cs="Calibri"/>
              </w:rPr>
              <w:t>£15,500</w:t>
            </w:r>
          </w:p>
        </w:tc>
      </w:tr>
    </w:tbl>
    <w:p w14:paraId="77C0D130" w14:textId="77777777" w:rsidR="00180EA0" w:rsidRDefault="00180EA0" w:rsidP="00180EA0">
      <w:pPr>
        <w:jc w:val="both"/>
        <w:rPr>
          <w:rFonts w:ascii="Calibri" w:hAnsi="Calibri" w:cs="Calibri"/>
          <w:color w:val="000000"/>
        </w:rPr>
      </w:pPr>
    </w:p>
    <w:p w14:paraId="31B056CE" w14:textId="77777777" w:rsidR="00E372EF" w:rsidRDefault="001A2F6F" w:rsidP="00180EA0">
      <w:pPr>
        <w:jc w:val="both"/>
        <w:rPr>
          <w:rFonts w:ascii="Calibri" w:hAnsi="Calibri" w:cs="Calibri"/>
          <w:color w:val="000000"/>
        </w:rPr>
      </w:pPr>
      <w:r w:rsidRPr="00FE238B">
        <w:rPr>
          <w:rFonts w:ascii="Calibri" w:hAnsi="Calibri" w:cs="Calibri"/>
          <w:color w:val="000000"/>
        </w:rPr>
        <w:t>We</w:t>
      </w:r>
      <w:r w:rsidR="00DC41E7">
        <w:rPr>
          <w:rFonts w:ascii="Calibri" w:hAnsi="Calibri" w:cs="Calibri"/>
          <w:color w:val="000000"/>
        </w:rPr>
        <w:t xml:space="preserve"> acknowledge a potential concern</w:t>
      </w:r>
      <w:r>
        <w:rPr>
          <w:rFonts w:ascii="Calibri" w:hAnsi="Calibri" w:cs="Calibri"/>
          <w:color w:val="000000"/>
        </w:rPr>
        <w:t xml:space="preserve"> that </w:t>
      </w:r>
      <w:r w:rsidRPr="00FE238B">
        <w:rPr>
          <w:rFonts w:ascii="Calibri" w:hAnsi="Calibri" w:cs="Calibri"/>
          <w:color w:val="000000"/>
        </w:rPr>
        <w:t xml:space="preserve">a tax relief measure for the costs of raising equity </w:t>
      </w:r>
      <w:r>
        <w:rPr>
          <w:rFonts w:ascii="Calibri" w:hAnsi="Calibri" w:cs="Calibri"/>
          <w:color w:val="000000"/>
        </w:rPr>
        <w:t>c</w:t>
      </w:r>
      <w:r w:rsidRPr="00FE238B">
        <w:rPr>
          <w:rFonts w:ascii="Calibri" w:hAnsi="Calibri" w:cs="Calibri"/>
          <w:color w:val="000000"/>
        </w:rPr>
        <w:t>ould lead to higher professional fees in the markets (e.g. for advice or underwriting).</w:t>
      </w:r>
      <w:r>
        <w:rPr>
          <w:rFonts w:ascii="Calibri" w:hAnsi="Calibri" w:cs="Calibri"/>
          <w:color w:val="000000"/>
        </w:rPr>
        <w:t xml:space="preserve"> However, </w:t>
      </w:r>
      <w:r w:rsidR="00DC41E7">
        <w:rPr>
          <w:rFonts w:ascii="Calibri" w:hAnsi="Calibri" w:cs="Calibri"/>
          <w:color w:val="000000"/>
        </w:rPr>
        <w:t>we</w:t>
      </w:r>
      <w:r w:rsidR="00E372EF">
        <w:rPr>
          <w:rFonts w:ascii="Calibri" w:hAnsi="Calibri" w:cs="Calibri"/>
          <w:color w:val="000000"/>
        </w:rPr>
        <w:t xml:space="preserve"> </w:t>
      </w:r>
      <w:r w:rsidR="00E372EF" w:rsidRPr="00982174">
        <w:rPr>
          <w:rFonts w:ascii="Calibri" w:hAnsi="Calibri" w:cs="Calibri"/>
          <w:color w:val="FF0000"/>
        </w:rPr>
        <w:t>do not consider that this is a significant risk area, as</w:t>
      </w:r>
      <w:r w:rsidRPr="00982174">
        <w:rPr>
          <w:rFonts w:ascii="Calibri" w:hAnsi="Calibri" w:cs="Calibri"/>
          <w:color w:val="FF0000"/>
        </w:rPr>
        <w:t xml:space="preserve"> we are not aware </w:t>
      </w:r>
      <w:r w:rsidR="00E372EF" w:rsidRPr="00982174">
        <w:rPr>
          <w:rFonts w:ascii="Calibri" w:hAnsi="Calibri" w:cs="Calibri"/>
          <w:color w:val="FF0000"/>
        </w:rPr>
        <w:t xml:space="preserve">that the corporate tax deductibility </w:t>
      </w:r>
      <w:r w:rsidRPr="00982174">
        <w:rPr>
          <w:rFonts w:ascii="Calibri" w:hAnsi="Calibri" w:cs="Calibri"/>
          <w:color w:val="FF0000"/>
        </w:rPr>
        <w:t>of</w:t>
      </w:r>
      <w:r w:rsidR="00E372EF" w:rsidRPr="00982174">
        <w:rPr>
          <w:rFonts w:ascii="Calibri" w:hAnsi="Calibri" w:cs="Calibri"/>
          <w:color w:val="FF0000"/>
        </w:rPr>
        <w:t xml:space="preserve"> the</w:t>
      </w:r>
      <w:r w:rsidRPr="00982174">
        <w:rPr>
          <w:rFonts w:ascii="Calibri" w:hAnsi="Calibri" w:cs="Calibri"/>
          <w:color w:val="FF0000"/>
        </w:rPr>
        <w:t xml:space="preserve"> costs </w:t>
      </w:r>
      <w:r w:rsidR="00E372EF" w:rsidRPr="00982174">
        <w:rPr>
          <w:rFonts w:ascii="Calibri" w:hAnsi="Calibri" w:cs="Calibri"/>
          <w:color w:val="FF0000"/>
        </w:rPr>
        <w:t xml:space="preserve">of raising debt finance has led to professional cost inflation. </w:t>
      </w:r>
    </w:p>
    <w:p w14:paraId="6A2BD886" w14:textId="7FBE0C63" w:rsidR="001A2F6F" w:rsidRDefault="00E372EF" w:rsidP="00180EA0">
      <w:pPr>
        <w:jc w:val="both"/>
      </w:pPr>
      <w:r>
        <w:rPr>
          <w:rFonts w:ascii="Calibri" w:hAnsi="Calibri" w:cs="Calibri"/>
          <w:color w:val="000000"/>
        </w:rPr>
        <w:t>In particular, p</w:t>
      </w:r>
      <w:r w:rsidR="001A2F6F">
        <w:t>rofessional fees fluctuate in line with factors such as competition, market conditions and risks. Given the competitive nature of the market for professional services, we do not anticipate a rise in costs as a result of such a measure.</w:t>
      </w:r>
      <w:r w:rsidR="0015726C">
        <w:t xml:space="preserve"> </w:t>
      </w:r>
    </w:p>
    <w:p w14:paraId="2F1E7BF3" w14:textId="77777777" w:rsidR="00AA2D46" w:rsidRPr="00AA2D46" w:rsidRDefault="00AA2D46" w:rsidP="00455922">
      <w:pPr>
        <w:pStyle w:val="ListParagraph"/>
        <w:numPr>
          <w:ilvl w:val="0"/>
          <w:numId w:val="24"/>
        </w:numPr>
        <w:autoSpaceDE w:val="0"/>
        <w:autoSpaceDN w:val="0"/>
        <w:adjustRightInd w:val="0"/>
        <w:ind w:left="568" w:hanging="284"/>
        <w:contextualSpacing w:val="0"/>
        <w:jc w:val="both"/>
        <w:rPr>
          <w:rFonts w:ascii="Calibri" w:hAnsi="Calibri" w:cs="Calibri"/>
          <w:color w:val="000000"/>
        </w:rPr>
      </w:pPr>
      <w:r w:rsidRPr="00AA2D46">
        <w:rPr>
          <w:rFonts w:ascii="Calibri" w:hAnsi="Calibri" w:cs="Calibri"/>
          <w:b/>
          <w:bCs/>
          <w:color w:val="000000"/>
        </w:rPr>
        <w:t xml:space="preserve">Allow tax relief for the costs of raising equity to be available in the year these were incurred </w:t>
      </w:r>
    </w:p>
    <w:p w14:paraId="3F85E900" w14:textId="77777777" w:rsidR="00AA2D46" w:rsidRDefault="00AA2D46" w:rsidP="001A2F6F">
      <w:pPr>
        <w:ind w:left="568"/>
        <w:jc w:val="both"/>
        <w:rPr>
          <w:rFonts w:ascii="Calibri" w:hAnsi="Calibri" w:cs="Calibri"/>
          <w:color w:val="000000"/>
        </w:rPr>
      </w:pPr>
      <w:r w:rsidRPr="001762CC">
        <w:rPr>
          <w:rFonts w:ascii="Calibri" w:hAnsi="Calibri" w:cs="Calibri"/>
          <w:color w:val="000000"/>
        </w:rPr>
        <w:t>In terms of the time scale for claiming these deductions, we believe that, to avoid excessive complication, tax relief for the costs of raising equity should be available in the year these were incurred.</w:t>
      </w:r>
    </w:p>
    <w:p w14:paraId="0F488908" w14:textId="77777777" w:rsidR="00AA2D46" w:rsidRPr="00AA2D46" w:rsidRDefault="00AA2D46" w:rsidP="00455922">
      <w:pPr>
        <w:pStyle w:val="ListParagraph"/>
        <w:numPr>
          <w:ilvl w:val="0"/>
          <w:numId w:val="24"/>
        </w:numPr>
        <w:autoSpaceDE w:val="0"/>
        <w:autoSpaceDN w:val="0"/>
        <w:adjustRightInd w:val="0"/>
        <w:ind w:left="568" w:hanging="284"/>
        <w:contextualSpacing w:val="0"/>
        <w:jc w:val="both"/>
        <w:rPr>
          <w:rFonts w:ascii="Calibri" w:hAnsi="Calibri" w:cs="Calibri"/>
          <w:color w:val="000000"/>
        </w:rPr>
      </w:pPr>
      <w:r w:rsidRPr="00AA2D46">
        <w:rPr>
          <w:rFonts w:ascii="Calibri" w:hAnsi="Calibri" w:cs="Calibri"/>
          <w:b/>
          <w:bCs/>
          <w:color w:val="000000"/>
        </w:rPr>
        <w:t xml:space="preserve">Allow the relief to be available once the implementing legislation comes into effect </w:t>
      </w:r>
    </w:p>
    <w:p w14:paraId="6CBDBE30" w14:textId="77777777" w:rsidR="00AA2D46" w:rsidRDefault="00AA2D46" w:rsidP="001A2F6F">
      <w:pPr>
        <w:ind w:left="568"/>
        <w:jc w:val="both"/>
        <w:rPr>
          <w:rFonts w:ascii="Calibri" w:hAnsi="Calibri" w:cs="Calibri"/>
          <w:color w:val="000000"/>
        </w:rPr>
      </w:pPr>
      <w:r w:rsidRPr="001762CC">
        <w:rPr>
          <w:rFonts w:ascii="Calibri" w:hAnsi="Calibri" w:cs="Calibri"/>
          <w:color w:val="000000"/>
        </w:rPr>
        <w:t>We also recommend that the relief should be available immediately (i.e. once</w:t>
      </w:r>
      <w:r>
        <w:rPr>
          <w:rFonts w:ascii="Calibri" w:hAnsi="Calibri" w:cs="Calibri"/>
          <w:color w:val="000000"/>
        </w:rPr>
        <w:t xml:space="preserve"> legislation comes into effect) </w:t>
      </w:r>
      <w:r w:rsidRPr="001762CC">
        <w:rPr>
          <w:rFonts w:ascii="Calibri" w:hAnsi="Calibri" w:cs="Calibri"/>
          <w:color w:val="000000"/>
        </w:rPr>
        <w:t>to avoid any perceived market distortion.</w:t>
      </w:r>
    </w:p>
    <w:p w14:paraId="46361FD0" w14:textId="77777777" w:rsidR="00AA2D46" w:rsidRPr="00AA2D46" w:rsidRDefault="00AA2D46" w:rsidP="00455922">
      <w:pPr>
        <w:pStyle w:val="ListParagraph"/>
        <w:numPr>
          <w:ilvl w:val="0"/>
          <w:numId w:val="24"/>
        </w:numPr>
        <w:autoSpaceDE w:val="0"/>
        <w:autoSpaceDN w:val="0"/>
        <w:adjustRightInd w:val="0"/>
        <w:ind w:left="568" w:hanging="284"/>
        <w:contextualSpacing w:val="0"/>
        <w:jc w:val="both"/>
        <w:rPr>
          <w:rFonts w:ascii="Calibri" w:hAnsi="Calibri" w:cs="Calibri"/>
          <w:color w:val="000000"/>
        </w:rPr>
      </w:pPr>
      <w:r w:rsidRPr="00AA2D46">
        <w:rPr>
          <w:rFonts w:ascii="Calibri" w:hAnsi="Calibri" w:cs="Calibri"/>
          <w:b/>
          <w:bCs/>
          <w:color w:val="000000"/>
        </w:rPr>
        <w:t xml:space="preserve">Allow the relief to apply to costs incurred as a result of an aborted fundraising </w:t>
      </w:r>
    </w:p>
    <w:p w14:paraId="256F4974" w14:textId="77777777" w:rsidR="00AA2D46" w:rsidRPr="001A2F6F" w:rsidRDefault="00AA2D46" w:rsidP="001A2F6F">
      <w:pPr>
        <w:autoSpaceDE w:val="0"/>
        <w:autoSpaceDN w:val="0"/>
        <w:adjustRightInd w:val="0"/>
        <w:ind w:left="568"/>
        <w:jc w:val="both"/>
        <w:rPr>
          <w:rFonts w:ascii="Calibri" w:hAnsi="Calibri" w:cs="Calibri"/>
          <w:color w:val="000000"/>
        </w:rPr>
      </w:pPr>
      <w:r w:rsidRPr="001762CC">
        <w:rPr>
          <w:rFonts w:ascii="Calibri" w:hAnsi="Calibri" w:cs="Calibri"/>
          <w:color w:val="000000"/>
        </w:rPr>
        <w:t xml:space="preserve">In the event of an aborted fundraising, we believe that professional costs incurred prior to an incomplete issuance should be allowed for tax relief in line with and in similar terms to costs which would be allowable if an equivalent debt financing process failed. There are a limited number of issuances that are aborted. We believe allowing all costs related to successful and cancelled issuances will reduce the level of complexity when drafting the measure. </w:t>
      </w:r>
    </w:p>
    <w:p w14:paraId="3961A748" w14:textId="728F2D82" w:rsidR="001A2F6F" w:rsidRDefault="001A2F6F" w:rsidP="00D10877">
      <w:pPr>
        <w:jc w:val="both"/>
        <w:rPr>
          <w:rFonts w:ascii="Calibri" w:hAnsi="Calibri" w:cs="Calibri"/>
          <w:b/>
        </w:rPr>
      </w:pPr>
      <w:r w:rsidRPr="008E5291">
        <w:rPr>
          <w:rFonts w:ascii="Calibri" w:hAnsi="Calibri" w:cs="Calibri"/>
          <w:b/>
          <w:i/>
          <w:noProof/>
          <w:lang w:eastAsia="en-GB"/>
        </w:rPr>
        <mc:AlternateContent>
          <mc:Choice Requires="wps">
            <w:drawing>
              <wp:inline distT="0" distB="0" distL="0" distR="0" wp14:anchorId="64845180" wp14:editId="740CE2E9">
                <wp:extent cx="6282046" cy="765544"/>
                <wp:effectExtent l="0" t="0" r="24130" b="15875"/>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2046" cy="765544"/>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6ABEE67" w14:textId="77777777" w:rsidR="006A5868" w:rsidRDefault="006A5868" w:rsidP="001A2F6F">
                            <w:pPr>
                              <w:jc w:val="both"/>
                              <w:rPr>
                                <w:rFonts w:ascii="Calibri" w:hAnsi="Calibri" w:cs="Calibri"/>
                              </w:rPr>
                            </w:pPr>
                            <w:r w:rsidRPr="001A2F6F">
                              <w:rPr>
                                <w:rFonts w:ascii="Calibri" w:hAnsi="Calibri" w:cs="Calibri"/>
                                <w:b/>
                              </w:rPr>
                              <w:t>Introducing a tax relief for th</w:t>
                            </w:r>
                            <w:r>
                              <w:rPr>
                                <w:rFonts w:ascii="Calibri" w:hAnsi="Calibri" w:cs="Calibri"/>
                                <w:b/>
                              </w:rPr>
                              <w:t xml:space="preserve">e costs up to £1.5 million of raising equity </w:t>
                            </w:r>
                            <w:r w:rsidRPr="001A2F6F">
                              <w:rPr>
                                <w:rFonts w:ascii="Calibri" w:hAnsi="Calibri" w:cs="Calibri"/>
                                <w:b/>
                              </w:rPr>
                              <w:t xml:space="preserve">would </w:t>
                            </w:r>
                            <w:r>
                              <w:rPr>
                                <w:rFonts w:ascii="Calibri" w:hAnsi="Calibri" w:cs="Calibri"/>
                                <w:b/>
                              </w:rPr>
                              <w:t xml:space="preserve">have </w:t>
                            </w:r>
                            <w:r w:rsidRPr="001A2F6F">
                              <w:rPr>
                                <w:rFonts w:ascii="Calibri" w:hAnsi="Calibri" w:cs="Calibri"/>
                                <w:b/>
                              </w:rPr>
                              <w:t xml:space="preserve">cost the </w:t>
                            </w:r>
                            <w:r w:rsidRPr="007F4BBD">
                              <w:rPr>
                                <w:rFonts w:ascii="Calibri" w:hAnsi="Calibri" w:cs="Calibri"/>
                                <w:b/>
                              </w:rPr>
                              <w:t>Exchequer approximately £76 million in the 12 months of 2017. This would help increase the flow of equity funds into the SME sector, creat</w:t>
                            </w:r>
                            <w:r>
                              <w:rPr>
                                <w:rFonts w:ascii="Calibri" w:hAnsi="Calibri" w:cs="Calibri"/>
                                <w:b/>
                              </w:rPr>
                              <w:t>ing</w:t>
                            </w:r>
                            <w:r w:rsidRPr="007F4BBD">
                              <w:rPr>
                                <w:rFonts w:ascii="Calibri" w:hAnsi="Calibri" w:cs="Calibri"/>
                                <w:b/>
                              </w:rPr>
                              <w:t xml:space="preserve"> jobs and </w:t>
                            </w:r>
                            <w:r>
                              <w:rPr>
                                <w:rFonts w:ascii="Calibri" w:hAnsi="Calibri" w:cs="Calibri"/>
                                <w:b/>
                              </w:rPr>
                              <w:t xml:space="preserve">generating additional </w:t>
                            </w:r>
                            <w:r w:rsidRPr="007F4BBD">
                              <w:rPr>
                                <w:rFonts w:ascii="Calibri" w:hAnsi="Calibri" w:cs="Calibri"/>
                                <w:b/>
                              </w:rPr>
                              <w:t>tax revenues.</w:t>
                            </w:r>
                          </w:p>
                          <w:p w14:paraId="3CE5E971" w14:textId="77777777" w:rsidR="006A5868" w:rsidRPr="008E5291" w:rsidRDefault="006A5868" w:rsidP="001A2F6F">
                            <w:pPr>
                              <w:jc w:val="both"/>
                            </w:pPr>
                          </w:p>
                        </w:txbxContent>
                      </wps:txbx>
                      <wps:bodyPr rot="0" vert="horz" wrap="square" lIns="91440" tIns="45720" rIns="91440" bIns="45720" anchor="t" anchorCtr="0">
                        <a:noAutofit/>
                      </wps:bodyPr>
                    </wps:wsp>
                  </a:graphicData>
                </a:graphic>
              </wp:inline>
            </w:drawing>
          </mc:Choice>
          <mc:Fallback>
            <w:pict>
              <v:shape w14:anchorId="64845180" id="Text Box 2" o:spid="_x0000_s1028" type="#_x0000_t202" style="width:494.65pt;height:60.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" fillcolor="white [3201]" strokecolor="black [3200]" strokeweight="2pt">
                <v:textbox>
                  <w:txbxContent>
                    <w:p w14:paraId="76ABEE67" w14:textId="77777777" w:rsidR="006A5868" w:rsidRDefault="006A5868" w:rsidP="001A2F6F">
                      <w:pPr>
                        <w:jc w:val="both"/>
                        <w:rPr>
                          <w:rFonts w:ascii="Calibri" w:hAnsi="Calibri" w:cs="Calibri"/>
                        </w:rPr>
                      </w:pPr>
                      <w:r w:rsidRPr="001A2F6F">
                        <w:rPr>
                          <w:rFonts w:ascii="Calibri" w:hAnsi="Calibri" w:cs="Calibri"/>
                          <w:b/>
                        </w:rPr>
                        <w:t>Introducing a tax relief for th</w:t>
                      </w:r>
                      <w:r>
                        <w:rPr>
                          <w:rFonts w:ascii="Calibri" w:hAnsi="Calibri" w:cs="Calibri"/>
                          <w:b/>
                        </w:rPr>
                        <w:t xml:space="preserve">e costs up to £1.5 million of raising equity </w:t>
                      </w:r>
                      <w:r w:rsidRPr="001A2F6F">
                        <w:rPr>
                          <w:rFonts w:ascii="Calibri" w:hAnsi="Calibri" w:cs="Calibri"/>
                          <w:b/>
                        </w:rPr>
                        <w:t xml:space="preserve">would </w:t>
                      </w:r>
                      <w:r>
                        <w:rPr>
                          <w:rFonts w:ascii="Calibri" w:hAnsi="Calibri" w:cs="Calibri"/>
                          <w:b/>
                        </w:rPr>
                        <w:t xml:space="preserve">have </w:t>
                      </w:r>
                      <w:r w:rsidRPr="001A2F6F">
                        <w:rPr>
                          <w:rFonts w:ascii="Calibri" w:hAnsi="Calibri" w:cs="Calibri"/>
                          <w:b/>
                        </w:rPr>
                        <w:t xml:space="preserve">cost the </w:t>
                      </w:r>
                      <w:r w:rsidRPr="007F4BBD">
                        <w:rPr>
                          <w:rFonts w:ascii="Calibri" w:hAnsi="Calibri" w:cs="Calibri"/>
                          <w:b/>
                        </w:rPr>
                        <w:t>Exchequer approximately £76 million in the 12 months of 2017. This would help increase the flow of equity funds into the SME sector, creat</w:t>
                      </w:r>
                      <w:r>
                        <w:rPr>
                          <w:rFonts w:ascii="Calibri" w:hAnsi="Calibri" w:cs="Calibri"/>
                          <w:b/>
                        </w:rPr>
                        <w:t>ing</w:t>
                      </w:r>
                      <w:r w:rsidRPr="007F4BBD">
                        <w:rPr>
                          <w:rFonts w:ascii="Calibri" w:hAnsi="Calibri" w:cs="Calibri"/>
                          <w:b/>
                        </w:rPr>
                        <w:t xml:space="preserve"> jobs and </w:t>
                      </w:r>
                      <w:r>
                        <w:rPr>
                          <w:rFonts w:ascii="Calibri" w:hAnsi="Calibri" w:cs="Calibri"/>
                          <w:b/>
                        </w:rPr>
                        <w:t xml:space="preserve">generating additional </w:t>
                      </w:r>
                      <w:r w:rsidRPr="007F4BBD">
                        <w:rPr>
                          <w:rFonts w:ascii="Calibri" w:hAnsi="Calibri" w:cs="Calibri"/>
                          <w:b/>
                        </w:rPr>
                        <w:t>tax revenues.</w:t>
                      </w:r>
                    </w:p>
                    <w:p w14:paraId="3CE5E971" w14:textId="77777777" w:rsidR="006A5868" w:rsidRPr="008E5291" w:rsidRDefault="006A5868" w:rsidP="001A2F6F">
                      <w:pPr>
                        <w:jc w:val="both"/>
                      </w:pPr>
                    </w:p>
                  </w:txbxContent>
                </v:textbox>
                <w10:anchorlock/>
              </v:shape>
            </w:pict>
          </mc:Fallback>
        </mc:AlternateContent>
      </w:r>
    </w:p>
    <w:p w14:paraId="112D08CB" w14:textId="36199B88" w:rsidR="00D10877" w:rsidRDefault="00505D25" w:rsidP="00D10877">
      <w:pPr>
        <w:jc w:val="both"/>
        <w:rPr>
          <w:rFonts w:ascii="Calibri" w:hAnsi="Calibri" w:cs="Calibri"/>
        </w:rPr>
      </w:pPr>
      <w:r>
        <w:rPr>
          <w:rFonts w:ascii="Calibri" w:hAnsi="Calibri" w:cs="Calibri"/>
        </w:rPr>
        <w:lastRenderedPageBreak/>
        <w:t>T</w:t>
      </w:r>
      <w:r w:rsidR="00D10877" w:rsidRPr="00BD385C">
        <w:rPr>
          <w:rFonts w:ascii="Calibri" w:hAnsi="Calibri" w:cs="Calibri"/>
        </w:rPr>
        <w:t>his</w:t>
      </w:r>
      <w:r w:rsidR="008B5656">
        <w:rPr>
          <w:rFonts w:ascii="Calibri" w:hAnsi="Calibri" w:cs="Calibri"/>
        </w:rPr>
        <w:t xml:space="preserve"> £76 million</w:t>
      </w:r>
      <w:r w:rsidR="00D10877" w:rsidRPr="00BD385C">
        <w:rPr>
          <w:rFonts w:ascii="Calibri" w:hAnsi="Calibri" w:cs="Calibri"/>
        </w:rPr>
        <w:t xml:space="preserve"> figure</w:t>
      </w:r>
      <w:r>
        <w:rPr>
          <w:rFonts w:ascii="Calibri" w:hAnsi="Calibri" w:cs="Calibri"/>
        </w:rPr>
        <w:t xml:space="preserve"> is</w:t>
      </w:r>
      <w:r w:rsidR="00D10877" w:rsidRPr="00BD385C">
        <w:rPr>
          <w:rFonts w:ascii="Calibri" w:hAnsi="Calibri" w:cs="Calibri"/>
        </w:rPr>
        <w:t xml:space="preserve"> based on the number of IPOs (</w:t>
      </w:r>
      <w:r w:rsidR="00BD385C">
        <w:rPr>
          <w:rFonts w:ascii="Calibri" w:hAnsi="Calibri" w:cs="Calibri"/>
        </w:rPr>
        <w:t>96</w:t>
      </w:r>
      <w:r w:rsidR="00BD385C" w:rsidRPr="00BD385C">
        <w:rPr>
          <w:rFonts w:ascii="Calibri" w:hAnsi="Calibri" w:cs="Calibri"/>
        </w:rPr>
        <w:t xml:space="preserve"> </w:t>
      </w:r>
      <w:r w:rsidR="00BD385C">
        <w:rPr>
          <w:rFonts w:ascii="Calibri" w:hAnsi="Calibri" w:cs="Calibri"/>
        </w:rPr>
        <w:t xml:space="preserve">– </w:t>
      </w:r>
      <w:r w:rsidR="00D10877" w:rsidRPr="00BD385C">
        <w:rPr>
          <w:rFonts w:ascii="Calibri" w:hAnsi="Calibri" w:cs="Calibri"/>
        </w:rPr>
        <w:t xml:space="preserve">of which </w:t>
      </w:r>
      <w:r w:rsidR="00BD385C">
        <w:rPr>
          <w:rFonts w:ascii="Calibri" w:hAnsi="Calibri" w:cs="Calibri"/>
        </w:rPr>
        <w:t>91</w:t>
      </w:r>
      <w:r w:rsidR="00BD385C" w:rsidRPr="00BD385C">
        <w:rPr>
          <w:rFonts w:ascii="Calibri" w:hAnsi="Calibri" w:cs="Calibri"/>
        </w:rPr>
        <w:t xml:space="preserve"> </w:t>
      </w:r>
      <w:r w:rsidR="00D10877" w:rsidRPr="00BD385C">
        <w:rPr>
          <w:rFonts w:ascii="Calibri" w:hAnsi="Calibri" w:cs="Calibri"/>
        </w:rPr>
        <w:t>raised money) and further issues (</w:t>
      </w:r>
      <w:r w:rsidR="00BD385C" w:rsidRPr="00BD385C">
        <w:rPr>
          <w:rFonts w:ascii="Calibri" w:hAnsi="Calibri" w:cs="Calibri"/>
        </w:rPr>
        <w:t>9</w:t>
      </w:r>
      <w:r w:rsidR="00BD385C">
        <w:rPr>
          <w:rFonts w:ascii="Calibri" w:hAnsi="Calibri" w:cs="Calibri"/>
        </w:rPr>
        <w:t>57</w:t>
      </w:r>
      <w:r w:rsidR="00D10877" w:rsidRPr="00BD385C">
        <w:rPr>
          <w:rFonts w:ascii="Calibri" w:hAnsi="Calibri" w:cs="Calibri"/>
        </w:rPr>
        <w:t>) on the London Stock Exchange’s Main Market and AIM between 1 January 201</w:t>
      </w:r>
      <w:r w:rsidR="00BD385C">
        <w:rPr>
          <w:rFonts w:ascii="Calibri" w:hAnsi="Calibri" w:cs="Calibri"/>
        </w:rPr>
        <w:t>7</w:t>
      </w:r>
      <w:r w:rsidR="00D10877" w:rsidRPr="00BD385C">
        <w:rPr>
          <w:rFonts w:ascii="Calibri" w:hAnsi="Calibri" w:cs="Calibri"/>
        </w:rPr>
        <w:t xml:space="preserve"> and 31 December 201</w:t>
      </w:r>
      <w:r w:rsidR="00BD385C">
        <w:rPr>
          <w:rFonts w:ascii="Calibri" w:hAnsi="Calibri" w:cs="Calibri"/>
        </w:rPr>
        <w:t>7</w:t>
      </w:r>
      <w:r w:rsidR="00D10877" w:rsidRPr="00BD385C">
        <w:rPr>
          <w:rFonts w:ascii="Calibri" w:hAnsi="Calibri" w:cs="Calibri"/>
        </w:rPr>
        <w:t>, capping the relief at the £1.5 million per issue and assuming a corporate tax rate of 19%</w:t>
      </w:r>
      <w:r w:rsidR="00D10877" w:rsidRPr="00BD385C">
        <w:rPr>
          <w:rStyle w:val="FootnoteReference"/>
          <w:rFonts w:ascii="Calibri" w:hAnsi="Calibri" w:cs="Calibri"/>
        </w:rPr>
        <w:footnoteReference w:id="21"/>
      </w:r>
      <w:r w:rsidR="00D10877" w:rsidRPr="00BD385C">
        <w:rPr>
          <w:rFonts w:ascii="Calibri" w:hAnsi="Calibri" w:cs="Calibri"/>
        </w:rPr>
        <w:t>.</w:t>
      </w:r>
      <w:r w:rsidR="0084069C">
        <w:rPr>
          <w:rFonts w:ascii="Calibri" w:hAnsi="Calibri" w:cs="Calibri"/>
        </w:rPr>
        <w:t xml:space="preserve"> </w:t>
      </w:r>
    </w:p>
    <w:p w14:paraId="175CFC30" w14:textId="7F769120" w:rsidR="00D10877" w:rsidRDefault="0015726C" w:rsidP="00180EA0">
      <w:pPr>
        <w:jc w:val="both"/>
        <w:rPr>
          <w:rFonts w:ascii="Calibri" w:hAnsi="Calibri" w:cs="Calibri"/>
        </w:rPr>
      </w:pPr>
      <w:r>
        <w:rPr>
          <w:rFonts w:ascii="Calibri" w:hAnsi="Calibri" w:cs="Calibri"/>
        </w:rPr>
        <w:t>The</w:t>
      </w:r>
      <w:r w:rsidR="00D10877" w:rsidRPr="00384CBF">
        <w:rPr>
          <w:rFonts w:ascii="Calibri" w:hAnsi="Calibri" w:cs="Calibri"/>
        </w:rPr>
        <w:t xml:space="preserve"> data</w:t>
      </w:r>
      <w:r>
        <w:rPr>
          <w:rFonts w:ascii="Calibri" w:hAnsi="Calibri" w:cs="Calibri"/>
        </w:rPr>
        <w:t xml:space="preserve"> containing the level of </w:t>
      </w:r>
      <w:r w:rsidR="00D10877" w:rsidRPr="00384CBF">
        <w:rPr>
          <w:rFonts w:ascii="Calibri" w:hAnsi="Calibri" w:cs="Calibri"/>
        </w:rPr>
        <w:t xml:space="preserve">fundraisings from the London Stock Exchange for both AIM and the Main Market in </w:t>
      </w:r>
      <w:r w:rsidR="00BD385C" w:rsidRPr="00384CBF">
        <w:rPr>
          <w:rFonts w:ascii="Calibri" w:hAnsi="Calibri" w:cs="Calibri"/>
        </w:rPr>
        <w:t>20</w:t>
      </w:r>
      <w:r w:rsidR="00BD385C">
        <w:rPr>
          <w:rFonts w:ascii="Calibri" w:hAnsi="Calibri" w:cs="Calibri"/>
        </w:rPr>
        <w:t>17</w:t>
      </w:r>
      <w:r w:rsidR="00A80A37">
        <w:rPr>
          <w:rFonts w:ascii="Calibri" w:hAnsi="Calibri" w:cs="Calibri"/>
        </w:rPr>
        <w:t xml:space="preserve"> can be found in Appendix B</w:t>
      </w:r>
      <w:r w:rsidR="00D10877" w:rsidRPr="00384CBF">
        <w:rPr>
          <w:rFonts w:ascii="Calibri" w:hAnsi="Calibri" w:cs="Calibri"/>
        </w:rPr>
        <w:t>.</w:t>
      </w:r>
    </w:p>
    <w:p w14:paraId="02AA8472" w14:textId="77777777" w:rsidR="00E372EF" w:rsidRDefault="00E372EF" w:rsidP="00180EA0">
      <w:pPr>
        <w:jc w:val="both"/>
        <w:rPr>
          <w:rFonts w:ascii="Calibri" w:hAnsi="Calibri" w:cs="Calibri"/>
        </w:rPr>
      </w:pPr>
    </w:p>
    <w:p w14:paraId="0E9DF76D" w14:textId="77777777" w:rsidR="00E612EF" w:rsidRPr="00FE238B" w:rsidRDefault="00E612EF" w:rsidP="00233725">
      <w:pPr>
        <w:pBdr>
          <w:top w:val="single" w:sz="4" w:space="1" w:color="auto"/>
        </w:pBdr>
        <w:spacing w:after="0"/>
        <w:jc w:val="both"/>
        <w:rPr>
          <w:rFonts w:ascii="Calibri" w:hAnsi="Calibri" w:cs="Calibri"/>
        </w:rPr>
      </w:pPr>
    </w:p>
    <w:p w14:paraId="266DEE31" w14:textId="77777777" w:rsidR="005E4C25" w:rsidRPr="00D35539" w:rsidRDefault="005E4C25" w:rsidP="005E4C25">
      <w:pPr>
        <w:pStyle w:val="Heading2"/>
        <w:numPr>
          <w:ilvl w:val="0"/>
          <w:numId w:val="19"/>
        </w:numPr>
        <w:spacing w:before="0" w:after="200"/>
        <w:ind w:left="426" w:hanging="426"/>
        <w:jc w:val="both"/>
        <w:rPr>
          <w:rFonts w:ascii="Calibri" w:hAnsi="Calibri" w:cs="Arial"/>
          <w:color w:val="auto"/>
          <w:sz w:val="24"/>
          <w:lang w:val="en"/>
        </w:rPr>
      </w:pPr>
      <w:bookmarkStart w:id="5" w:name="_Toc19093853"/>
      <w:r>
        <w:rPr>
          <w:rFonts w:ascii="Calibri" w:hAnsi="Calibri"/>
          <w:color w:val="auto"/>
          <w:sz w:val="24"/>
        </w:rPr>
        <w:t>Permitting funds to invest in companies which qualify for Business Property Relief</w:t>
      </w:r>
      <w:bookmarkEnd w:id="5"/>
    </w:p>
    <w:p w14:paraId="62579668" w14:textId="7DF04153" w:rsidR="005E4C25" w:rsidRPr="00314681" w:rsidRDefault="005E4C25" w:rsidP="005E4C25">
      <w:pPr>
        <w:jc w:val="both"/>
        <w:rPr>
          <w:szCs w:val="28"/>
        </w:rPr>
      </w:pPr>
      <w:r w:rsidRPr="00314681">
        <w:rPr>
          <w:rFonts w:ascii="Calibri" w:hAnsi="Calibri"/>
          <w:szCs w:val="28"/>
        </w:rPr>
        <w:t>The UK’s growth markets</w:t>
      </w:r>
      <w:r>
        <w:rPr>
          <w:rFonts w:ascii="Calibri" w:hAnsi="Calibri"/>
          <w:szCs w:val="28"/>
        </w:rPr>
        <w:t xml:space="preserve"> are global leaders in </w:t>
      </w:r>
      <w:r w:rsidRPr="00314681">
        <w:rPr>
          <w:rFonts w:ascii="Calibri" w:hAnsi="Calibri"/>
          <w:szCs w:val="28"/>
        </w:rPr>
        <w:t xml:space="preserve">stimulating investment in small, growing companies. Since its launch in 1995, the Alternative Investment Market (AIM) has supported </w:t>
      </w:r>
      <w:r w:rsidR="0034015F" w:rsidRPr="007022E2">
        <w:rPr>
          <w:rFonts w:ascii="Calibri" w:hAnsi="Calibri"/>
          <w:color w:val="FF0000"/>
          <w:szCs w:val="28"/>
        </w:rPr>
        <w:t xml:space="preserve">over </w:t>
      </w:r>
      <w:r w:rsidRPr="00314681">
        <w:rPr>
          <w:rFonts w:ascii="Calibri" w:hAnsi="Calibri"/>
          <w:szCs w:val="28"/>
        </w:rPr>
        <w:t>3,800 companies raise £</w:t>
      </w:r>
      <w:r w:rsidR="0034015F" w:rsidRPr="007022E2">
        <w:rPr>
          <w:rFonts w:ascii="Calibri" w:hAnsi="Calibri"/>
          <w:color w:val="FF0000"/>
          <w:szCs w:val="28"/>
        </w:rPr>
        <w:t xml:space="preserve">113 </w:t>
      </w:r>
      <w:r w:rsidRPr="00314681">
        <w:rPr>
          <w:rFonts w:ascii="Calibri" w:hAnsi="Calibri"/>
          <w:szCs w:val="28"/>
        </w:rPr>
        <w:t>billion.</w:t>
      </w:r>
      <w:r w:rsidRPr="00314681">
        <w:rPr>
          <w:rStyle w:val="FootnoteReference"/>
          <w:rFonts w:ascii="Calibri" w:hAnsi="Calibri"/>
          <w:szCs w:val="28"/>
        </w:rPr>
        <w:footnoteReference w:id="22"/>
      </w:r>
      <w:r w:rsidRPr="00314681">
        <w:rPr>
          <w:rFonts w:ascii="Calibri" w:hAnsi="Calibri"/>
          <w:szCs w:val="28"/>
        </w:rPr>
        <w:t xml:space="preserve"> This has contributed significantly to employment growth and tax revenue for the Exchequer; the </w:t>
      </w:r>
      <w:r w:rsidRPr="00314681">
        <w:rPr>
          <w:szCs w:val="28"/>
        </w:rPr>
        <w:t xml:space="preserve">£14.7 billion contribution that the </w:t>
      </w:r>
      <w:r>
        <w:rPr>
          <w:szCs w:val="28"/>
        </w:rPr>
        <w:t>AIM companies</w:t>
      </w:r>
      <w:r w:rsidRPr="00314681">
        <w:rPr>
          <w:szCs w:val="28"/>
        </w:rPr>
        <w:t xml:space="preserve"> make to UK </w:t>
      </w:r>
      <w:r>
        <w:rPr>
          <w:szCs w:val="28"/>
        </w:rPr>
        <w:t>gross domestic product</w:t>
      </w:r>
      <w:r w:rsidRPr="00314681">
        <w:rPr>
          <w:szCs w:val="28"/>
        </w:rPr>
        <w:t xml:space="preserve"> is on par with the automotive industry.</w:t>
      </w:r>
      <w:r w:rsidRPr="00314681">
        <w:rPr>
          <w:rStyle w:val="FootnoteReference"/>
          <w:szCs w:val="28"/>
        </w:rPr>
        <w:footnoteReference w:id="23"/>
      </w:r>
    </w:p>
    <w:p w14:paraId="5531EDFE" w14:textId="6210008E" w:rsidR="005E4C25" w:rsidRPr="00314681" w:rsidRDefault="005E4C25" w:rsidP="005E4C25">
      <w:pPr>
        <w:jc w:val="both"/>
        <w:rPr>
          <w:szCs w:val="28"/>
        </w:rPr>
      </w:pPr>
      <w:r w:rsidRPr="00314681">
        <w:rPr>
          <w:szCs w:val="28"/>
        </w:rPr>
        <w:t>Business Property Relief (BPR) – as identified by the government’s Patient Capital Review in August 2017</w:t>
      </w:r>
      <w:r>
        <w:rPr>
          <w:rStyle w:val="FootnoteReference"/>
          <w:szCs w:val="28"/>
        </w:rPr>
        <w:footnoteReference w:id="24"/>
      </w:r>
      <w:r w:rsidRPr="00314681">
        <w:rPr>
          <w:szCs w:val="28"/>
        </w:rPr>
        <w:t xml:space="preserve"> – continues to play an important role in the supporting the growth of smaller quoted companies. </w:t>
      </w:r>
      <w:r>
        <w:rPr>
          <w:szCs w:val="28"/>
        </w:rPr>
        <w:t>It prevents th</w:t>
      </w:r>
      <w:r w:rsidRPr="000E0508">
        <w:rPr>
          <w:szCs w:val="28"/>
        </w:rPr>
        <w:t>e break-up of businesses upon death of a business owner or</w:t>
      </w:r>
      <w:r w:rsidR="009B7B07">
        <w:rPr>
          <w:szCs w:val="28"/>
        </w:rPr>
        <w:t xml:space="preserve"> major</w:t>
      </w:r>
      <w:r w:rsidRPr="000E0508">
        <w:rPr>
          <w:szCs w:val="28"/>
        </w:rPr>
        <w:t xml:space="preserve"> shareholder</w:t>
      </w:r>
      <w:r>
        <w:rPr>
          <w:szCs w:val="28"/>
        </w:rPr>
        <w:t>, while also</w:t>
      </w:r>
      <w:r w:rsidRPr="00314681">
        <w:rPr>
          <w:szCs w:val="28"/>
        </w:rPr>
        <w:t xml:space="preserve"> provid</w:t>
      </w:r>
      <w:r>
        <w:rPr>
          <w:szCs w:val="28"/>
        </w:rPr>
        <w:t>ing</w:t>
      </w:r>
      <w:r w:rsidRPr="00314681">
        <w:rPr>
          <w:szCs w:val="28"/>
        </w:rPr>
        <w:t xml:space="preserve"> a source of long-term capital to smaller quoted companies seeking to scale-up</w:t>
      </w:r>
      <w:r>
        <w:rPr>
          <w:szCs w:val="28"/>
        </w:rPr>
        <w:t xml:space="preserve">. This </w:t>
      </w:r>
      <w:r w:rsidRPr="00314681">
        <w:rPr>
          <w:szCs w:val="28"/>
        </w:rPr>
        <w:t>encourag</w:t>
      </w:r>
      <w:r>
        <w:rPr>
          <w:szCs w:val="28"/>
        </w:rPr>
        <w:t>es</w:t>
      </w:r>
      <w:r w:rsidRPr="00314681">
        <w:rPr>
          <w:szCs w:val="28"/>
        </w:rPr>
        <w:t xml:space="preserve"> founder-led companies to continue their growth j</w:t>
      </w:r>
      <w:r>
        <w:rPr>
          <w:szCs w:val="28"/>
        </w:rPr>
        <w:t xml:space="preserve">ourney on public equity markets. Investors are also </w:t>
      </w:r>
      <w:r w:rsidRPr="00314681">
        <w:rPr>
          <w:szCs w:val="28"/>
        </w:rPr>
        <w:t>incentivise</w:t>
      </w:r>
      <w:r>
        <w:rPr>
          <w:szCs w:val="28"/>
        </w:rPr>
        <w:t>d</w:t>
      </w:r>
      <w:r w:rsidRPr="00314681">
        <w:rPr>
          <w:szCs w:val="28"/>
        </w:rPr>
        <w:t xml:space="preserve"> to deploy capital which would otherwise be invested in larger listed companies in qualifying growth companies.</w:t>
      </w:r>
    </w:p>
    <w:p w14:paraId="77841DC9" w14:textId="77777777" w:rsidR="005E4C25" w:rsidRDefault="005E4C25" w:rsidP="005E4C25">
      <w:pPr>
        <w:jc w:val="both"/>
        <w:rPr>
          <w:rFonts w:ascii="Calibri" w:hAnsi="Calibri"/>
        </w:rPr>
      </w:pPr>
      <w:r w:rsidRPr="00314681">
        <w:rPr>
          <w:rFonts w:ascii="Calibri" w:hAnsi="Calibri"/>
        </w:rPr>
        <w:t xml:space="preserve">However, one current shortcoming for individuals seeking to invest in these companies is that they must invest directly in stocks, such as those on AIM, through discretionary portfolios which do not necessarily match the risk with the goals of the investor. As fund managers of these portfolios tend to have to be fully invested, and inflows are regular, they have very little discretion in achieving the optimum price in the market. </w:t>
      </w:r>
    </w:p>
    <w:p w14:paraId="2277932B" w14:textId="77777777" w:rsidR="005E4C25" w:rsidRPr="00314681" w:rsidRDefault="005E4C25" w:rsidP="005E4C25">
      <w:pPr>
        <w:jc w:val="both"/>
        <w:rPr>
          <w:rFonts w:ascii="Calibri" w:hAnsi="Calibri"/>
        </w:rPr>
      </w:pPr>
      <w:r w:rsidRPr="00314681">
        <w:rPr>
          <w:rFonts w:ascii="Calibri" w:hAnsi="Calibri"/>
        </w:rPr>
        <w:t>This has inadvertently resulted in capital being preserved in the largest AIM companies – whose stocks are more liquid – rather than companies at the lower end of the market which would benefit from this capital the most.</w:t>
      </w:r>
      <w:r>
        <w:rPr>
          <w:rFonts w:ascii="Calibri" w:hAnsi="Calibri"/>
        </w:rPr>
        <w:t xml:space="preserve"> This means that the companies which suffer most acutely from a lack of access to finance – quoted companies towards the bottom end of the growth market – are less able to attract BPR investment. At the </w:t>
      </w:r>
      <w:r>
        <w:rPr>
          <w:rFonts w:ascii="Calibri" w:hAnsi="Calibri"/>
        </w:rPr>
        <w:lastRenderedPageBreak/>
        <w:t>same time, investor choice is stymied; they are less able to spread their investment risk among a wide range of AIM companies.</w:t>
      </w:r>
    </w:p>
    <w:p w14:paraId="6055A8DE" w14:textId="77777777" w:rsidR="005E4C25" w:rsidRPr="00893D71" w:rsidRDefault="005E4C25" w:rsidP="005E4C25">
      <w:pPr>
        <w:jc w:val="both"/>
        <w:rPr>
          <w:rFonts w:ascii="Calibri" w:hAnsi="Calibri"/>
          <w:b/>
        </w:rPr>
      </w:pPr>
      <w:r w:rsidRPr="00893D71">
        <w:rPr>
          <w:rFonts w:ascii="Calibri" w:hAnsi="Calibri"/>
          <w:b/>
        </w:rPr>
        <w:t xml:space="preserve">In order to neutralise this market failure, the government should </w:t>
      </w:r>
      <w:r>
        <w:rPr>
          <w:rFonts w:ascii="Calibri" w:hAnsi="Calibri"/>
          <w:b/>
        </w:rPr>
        <w:t>establish</w:t>
      </w:r>
      <w:r w:rsidRPr="00893D71">
        <w:rPr>
          <w:rFonts w:ascii="Calibri" w:hAnsi="Calibri"/>
          <w:b/>
        </w:rPr>
        <w:t xml:space="preserve"> a </w:t>
      </w:r>
      <w:r>
        <w:rPr>
          <w:rFonts w:ascii="Calibri" w:hAnsi="Calibri"/>
          <w:b/>
        </w:rPr>
        <w:t>new BPR fund category</w:t>
      </w:r>
      <w:r w:rsidRPr="00893D71">
        <w:rPr>
          <w:rFonts w:ascii="Calibri" w:hAnsi="Calibri"/>
          <w:b/>
        </w:rPr>
        <w:t xml:space="preserve"> – distinct from those available for EIS and VCT investments – which would be allowed to invest in qualifying companies on</w:t>
      </w:r>
      <w:r>
        <w:rPr>
          <w:rFonts w:ascii="Calibri" w:hAnsi="Calibri"/>
          <w:b/>
        </w:rPr>
        <w:t xml:space="preserve"> any</w:t>
      </w:r>
      <w:r w:rsidRPr="00893D71">
        <w:rPr>
          <w:rFonts w:ascii="Calibri" w:hAnsi="Calibri"/>
          <w:b/>
        </w:rPr>
        <w:t xml:space="preserve"> growth market</w:t>
      </w:r>
      <w:r>
        <w:rPr>
          <w:rFonts w:ascii="Calibri" w:hAnsi="Calibri"/>
          <w:b/>
        </w:rPr>
        <w:t>,</w:t>
      </w:r>
      <w:r w:rsidRPr="00893D71">
        <w:rPr>
          <w:rFonts w:ascii="Calibri" w:hAnsi="Calibri"/>
          <w:b/>
        </w:rPr>
        <w:t xml:space="preserve"> such as AIM and NEX Exchange</w:t>
      </w:r>
      <w:r>
        <w:rPr>
          <w:rFonts w:ascii="Calibri" w:hAnsi="Calibri"/>
          <w:b/>
        </w:rPr>
        <w:t>,</w:t>
      </w:r>
      <w:r w:rsidRPr="00893D71">
        <w:rPr>
          <w:rFonts w:ascii="Calibri" w:hAnsi="Calibri"/>
          <w:b/>
        </w:rPr>
        <w:t xml:space="preserve"> and</w:t>
      </w:r>
      <w:r>
        <w:rPr>
          <w:rFonts w:ascii="Calibri" w:hAnsi="Calibri"/>
          <w:b/>
        </w:rPr>
        <w:t xml:space="preserve"> thus</w:t>
      </w:r>
      <w:r w:rsidRPr="00893D71">
        <w:rPr>
          <w:rFonts w:ascii="Calibri" w:hAnsi="Calibri"/>
          <w:b/>
        </w:rPr>
        <w:t xml:space="preserve"> be eligible for </w:t>
      </w:r>
      <w:r>
        <w:rPr>
          <w:rFonts w:ascii="Calibri" w:hAnsi="Calibri"/>
          <w:b/>
        </w:rPr>
        <w:t>BPR</w:t>
      </w:r>
      <w:r w:rsidRPr="00893D71">
        <w:rPr>
          <w:rFonts w:ascii="Calibri" w:hAnsi="Calibri"/>
          <w:b/>
        </w:rPr>
        <w:t xml:space="preserve">. </w:t>
      </w:r>
    </w:p>
    <w:p w14:paraId="513C3B18" w14:textId="7E4E49ED" w:rsidR="005E4C25" w:rsidRPr="00314681" w:rsidRDefault="005E4C25" w:rsidP="005E4C25">
      <w:pPr>
        <w:jc w:val="both"/>
        <w:rPr>
          <w:rFonts w:ascii="Calibri" w:hAnsi="Calibri"/>
        </w:rPr>
      </w:pPr>
      <w:r w:rsidRPr="00314681">
        <w:rPr>
          <w:rFonts w:ascii="Calibri" w:hAnsi="Calibri"/>
        </w:rPr>
        <w:t>Doing so would enable fund managers to invest in a full range of smaller companies quoted on these growth markets.</w:t>
      </w:r>
      <w:r>
        <w:rPr>
          <w:rFonts w:ascii="Calibri" w:hAnsi="Calibri"/>
        </w:rPr>
        <w:t xml:space="preserve"> </w:t>
      </w:r>
      <w:r w:rsidRPr="00314681">
        <w:rPr>
          <w:rFonts w:ascii="Calibri" w:hAnsi="Calibri"/>
        </w:rPr>
        <w:t xml:space="preserve">This would benefit both individual investors and smaller quoted companies. Investors would benefit from fund managers being able to allocate their capital </w:t>
      </w:r>
      <w:r>
        <w:rPr>
          <w:rFonts w:ascii="Calibri" w:hAnsi="Calibri"/>
        </w:rPr>
        <w:t>to</w:t>
      </w:r>
      <w:r w:rsidRPr="00314681">
        <w:rPr>
          <w:rFonts w:ascii="Calibri" w:hAnsi="Calibri"/>
        </w:rPr>
        <w:t xml:space="preserve"> a wider range of companies than is currently possible, thus spreading each investor’s portfolio risk.</w:t>
      </w:r>
    </w:p>
    <w:p w14:paraId="0EB3D785" w14:textId="77777777" w:rsidR="005E4C25" w:rsidRPr="00314681" w:rsidRDefault="005E4C25" w:rsidP="005E4C25">
      <w:pPr>
        <w:jc w:val="both"/>
        <w:rPr>
          <w:rFonts w:ascii="Calibri" w:hAnsi="Calibri"/>
        </w:rPr>
      </w:pPr>
      <w:r w:rsidRPr="00314681">
        <w:rPr>
          <w:rFonts w:ascii="Calibri" w:hAnsi="Calibri"/>
        </w:rPr>
        <w:t>At the same time, this would</w:t>
      </w:r>
      <w:r>
        <w:rPr>
          <w:rFonts w:ascii="Calibri" w:hAnsi="Calibri"/>
        </w:rPr>
        <w:t xml:space="preserve"> also</w:t>
      </w:r>
      <w:r w:rsidRPr="00314681">
        <w:rPr>
          <w:rFonts w:ascii="Calibri" w:hAnsi="Calibri"/>
        </w:rPr>
        <w:t xml:space="preserve"> create more liquidity and investment in smaller growth companies instead of maintaining the present concentration of such investments in the largest companies on AIM companies would benefit from the additional investment.</w:t>
      </w:r>
    </w:p>
    <w:p w14:paraId="245FCDF4" w14:textId="77777777" w:rsidR="005E4C25" w:rsidRDefault="005E4C25" w:rsidP="005E4C25">
      <w:pPr>
        <w:jc w:val="both"/>
        <w:rPr>
          <w:rFonts w:ascii="Calibri" w:hAnsi="Calibri"/>
        </w:rPr>
      </w:pPr>
      <w:r w:rsidRPr="00314681">
        <w:rPr>
          <w:rFonts w:ascii="Calibri" w:hAnsi="Calibri"/>
        </w:rPr>
        <w:t>We pr</w:t>
      </w:r>
      <w:r>
        <w:rPr>
          <w:rFonts w:ascii="Calibri" w:hAnsi="Calibri"/>
        </w:rPr>
        <w:t>opose that such funds should:</w:t>
      </w:r>
    </w:p>
    <w:p w14:paraId="0A6CCBCE" w14:textId="77777777" w:rsidR="005E4C25" w:rsidRDefault="005E4C25" w:rsidP="005E4C25">
      <w:pPr>
        <w:pStyle w:val="ListParagraph"/>
        <w:numPr>
          <w:ilvl w:val="0"/>
          <w:numId w:val="27"/>
        </w:numPr>
        <w:ind w:left="567" w:hanging="283"/>
        <w:contextualSpacing w:val="0"/>
        <w:jc w:val="both"/>
        <w:rPr>
          <w:rFonts w:ascii="Calibri" w:hAnsi="Calibri"/>
        </w:rPr>
      </w:pPr>
      <w:r>
        <w:rPr>
          <w:rFonts w:ascii="Calibri" w:hAnsi="Calibri"/>
        </w:rPr>
        <w:t>Be a closed-end fund;</w:t>
      </w:r>
    </w:p>
    <w:p w14:paraId="0AD3603A" w14:textId="77777777" w:rsidR="005E4C25" w:rsidRDefault="005E4C25" w:rsidP="005E4C25">
      <w:pPr>
        <w:pStyle w:val="ListParagraph"/>
        <w:numPr>
          <w:ilvl w:val="0"/>
          <w:numId w:val="27"/>
        </w:numPr>
        <w:ind w:left="567" w:hanging="283"/>
        <w:contextualSpacing w:val="0"/>
        <w:jc w:val="both"/>
        <w:rPr>
          <w:rFonts w:ascii="Calibri" w:hAnsi="Calibri"/>
        </w:rPr>
      </w:pPr>
      <w:r>
        <w:rPr>
          <w:rFonts w:ascii="Calibri" w:hAnsi="Calibri"/>
        </w:rPr>
        <w:t>Limit qualifying companies to those with a maximum individual total market capitalisation of £500 million;</w:t>
      </w:r>
      <w:r>
        <w:rPr>
          <w:rStyle w:val="FootnoteReference"/>
          <w:rFonts w:ascii="Calibri" w:hAnsi="Calibri"/>
        </w:rPr>
        <w:footnoteReference w:id="25"/>
      </w:r>
    </w:p>
    <w:p w14:paraId="6A1F41FF" w14:textId="77777777" w:rsidR="005E4C25" w:rsidRPr="005E2093" w:rsidRDefault="005E4C25" w:rsidP="005E4C25">
      <w:pPr>
        <w:pStyle w:val="ListParagraph"/>
        <w:numPr>
          <w:ilvl w:val="0"/>
          <w:numId w:val="27"/>
        </w:numPr>
        <w:ind w:left="567" w:hanging="283"/>
        <w:contextualSpacing w:val="0"/>
        <w:jc w:val="both"/>
        <w:rPr>
          <w:rFonts w:ascii="Calibri" w:hAnsi="Calibri"/>
        </w:rPr>
      </w:pPr>
      <w:r>
        <w:rPr>
          <w:rFonts w:ascii="Calibri" w:hAnsi="Calibri"/>
        </w:rPr>
        <w:t>Ensure that to qualify for BPR, the fund must</w:t>
      </w:r>
      <w:r w:rsidRPr="005E2093">
        <w:rPr>
          <w:rFonts w:ascii="Calibri" w:hAnsi="Calibri"/>
        </w:rPr>
        <w:t xml:space="preserve"> have at least 90% of qualifying companies' assets still invested in the fund</w:t>
      </w:r>
      <w:r w:rsidRPr="000E0508">
        <w:rPr>
          <w:rFonts w:ascii="Calibri" w:hAnsi="Calibri"/>
        </w:rPr>
        <w:t xml:space="preserve"> </w:t>
      </w:r>
      <w:r>
        <w:rPr>
          <w:rFonts w:ascii="Calibri" w:hAnsi="Calibri"/>
        </w:rPr>
        <w:t>w</w:t>
      </w:r>
      <w:r w:rsidRPr="005E2093">
        <w:rPr>
          <w:rFonts w:ascii="Calibri" w:hAnsi="Calibri"/>
        </w:rPr>
        <w:t>ithin three years of the share issue</w:t>
      </w:r>
      <w:r>
        <w:rPr>
          <w:rFonts w:ascii="Calibri" w:hAnsi="Calibri"/>
        </w:rPr>
        <w:t>;</w:t>
      </w:r>
    </w:p>
    <w:p w14:paraId="4C33C4EE" w14:textId="77777777" w:rsidR="005E4C25" w:rsidRPr="00893D71" w:rsidRDefault="005E4C25" w:rsidP="005E4C25">
      <w:pPr>
        <w:pStyle w:val="ListParagraph"/>
        <w:numPr>
          <w:ilvl w:val="0"/>
          <w:numId w:val="27"/>
        </w:numPr>
        <w:ind w:left="567" w:hanging="283"/>
        <w:contextualSpacing w:val="0"/>
        <w:jc w:val="both"/>
        <w:rPr>
          <w:rFonts w:ascii="Calibri" w:hAnsi="Calibri"/>
        </w:rPr>
      </w:pPr>
      <w:r>
        <w:rPr>
          <w:rFonts w:ascii="Calibri" w:hAnsi="Calibri"/>
        </w:rPr>
        <w:t>Have a capped annual management charge of 1.5% per annum.</w:t>
      </w:r>
    </w:p>
    <w:p w14:paraId="7916AA83" w14:textId="22D5EC70" w:rsidR="005E4C25" w:rsidRDefault="005E4C25" w:rsidP="005E4C25">
      <w:pPr>
        <w:jc w:val="both"/>
        <w:rPr>
          <w:rFonts w:ascii="Calibri" w:hAnsi="Calibri"/>
        </w:rPr>
      </w:pPr>
      <w:r w:rsidRPr="00314681">
        <w:rPr>
          <w:rFonts w:ascii="Calibri" w:hAnsi="Calibri"/>
        </w:rPr>
        <w:t xml:space="preserve">Whilst permitting such funds to be used would </w:t>
      </w:r>
      <w:r>
        <w:rPr>
          <w:rFonts w:ascii="Calibri" w:hAnsi="Calibri"/>
        </w:rPr>
        <w:t>cost the Exchequer a small amount in foregone revenue in the immediate term</w:t>
      </w:r>
      <w:r w:rsidRPr="00314681">
        <w:rPr>
          <w:rFonts w:ascii="Calibri" w:hAnsi="Calibri"/>
        </w:rPr>
        <w:t>, this would be more than offset by the fact that the benefitting investees companies would create more employment opportunities and generate additional economic growth, which would increase tax revenue – including in terms of income tax, national insurance contributions and corporate tax.</w:t>
      </w:r>
    </w:p>
    <w:p w14:paraId="3F54CF6B" w14:textId="4DE2F26C" w:rsidR="00E612EF" w:rsidRDefault="00B93216" w:rsidP="00233725">
      <w:pPr>
        <w:jc w:val="both"/>
        <w:rPr>
          <w:rFonts w:ascii="Calibri" w:hAnsi="Calibri"/>
        </w:rPr>
      </w:pPr>
      <w:r>
        <w:rPr>
          <w:rFonts w:ascii="Calibri" w:hAnsi="Calibri"/>
        </w:rPr>
        <w:t>F</w:t>
      </w:r>
      <w:r w:rsidR="005E4C25">
        <w:rPr>
          <w:rFonts w:ascii="Calibri" w:hAnsi="Calibri"/>
        </w:rPr>
        <w:t xml:space="preserve">acilitating the development of BPR funds </w:t>
      </w:r>
      <w:r>
        <w:rPr>
          <w:rFonts w:ascii="Calibri" w:hAnsi="Calibri"/>
        </w:rPr>
        <w:t>would also support the government’s</w:t>
      </w:r>
      <w:r w:rsidR="005E4C25">
        <w:rPr>
          <w:rFonts w:ascii="Calibri" w:hAnsi="Calibri"/>
        </w:rPr>
        <w:t xml:space="preserve"> industrial strategy. As the nation’s demographic</w:t>
      </w:r>
      <w:r w:rsidR="009B7B07">
        <w:rPr>
          <w:rFonts w:ascii="Calibri" w:hAnsi="Calibri"/>
        </w:rPr>
        <w:t>s</w:t>
      </w:r>
      <w:r w:rsidR="005E4C25">
        <w:rPr>
          <w:rFonts w:ascii="Calibri" w:hAnsi="Calibri"/>
        </w:rPr>
        <w:t xml:space="preserve"> change – a population ageing and living longer – many individuals will seek to continue investing their accumulated capital in their retirement years. BPR funds represent a constructive, cost-effective way of doing this, while supplying a source of long-term, patient capital to smaller, growing companies which provide the employment opportunities that their descendants will require to maintain their prosperity in the twenty-first century.</w:t>
      </w:r>
    </w:p>
    <w:p w14:paraId="0D27B13A" w14:textId="77777777" w:rsidR="00E612EF" w:rsidRPr="00314681" w:rsidRDefault="00E612EF" w:rsidP="00233725">
      <w:pPr>
        <w:pBdr>
          <w:top w:val="single" w:sz="4" w:space="1" w:color="auto"/>
        </w:pBdr>
        <w:spacing w:after="0"/>
        <w:jc w:val="both"/>
        <w:rPr>
          <w:rFonts w:ascii="Calibri" w:hAnsi="Calibri"/>
        </w:rPr>
      </w:pPr>
    </w:p>
    <w:p w14:paraId="1222207B" w14:textId="77777777" w:rsidR="00C4032A" w:rsidRPr="003A6C28" w:rsidRDefault="00C4032A" w:rsidP="00C4032A">
      <w:pPr>
        <w:pStyle w:val="Heading2"/>
        <w:numPr>
          <w:ilvl w:val="0"/>
          <w:numId w:val="19"/>
        </w:numPr>
        <w:spacing w:before="0" w:after="200"/>
        <w:ind w:left="426" w:hanging="426"/>
        <w:jc w:val="both"/>
        <w:rPr>
          <w:rFonts w:ascii="Calibri" w:hAnsi="Calibri"/>
          <w:color w:val="auto"/>
          <w:sz w:val="24"/>
          <w:szCs w:val="22"/>
        </w:rPr>
      </w:pPr>
      <w:bookmarkStart w:id="6" w:name="_Toc19093854"/>
      <w:r w:rsidRPr="003A6C28">
        <w:rPr>
          <w:rFonts w:ascii="Calibri" w:hAnsi="Calibri"/>
          <w:color w:val="auto"/>
          <w:sz w:val="24"/>
          <w:szCs w:val="22"/>
        </w:rPr>
        <w:t>Encouraging employee share ownership</w:t>
      </w:r>
      <w:bookmarkEnd w:id="6"/>
    </w:p>
    <w:p w14:paraId="4244CB87" w14:textId="77777777" w:rsidR="00E50257" w:rsidRDefault="00E50257" w:rsidP="00E50257">
      <w:pPr>
        <w:jc w:val="both"/>
      </w:pPr>
      <w:r>
        <w:t>Employee share ownership can offer substantial, mutual benefits to small and mid-size quoted companies, members of the workforce and the economy as a whole.</w:t>
      </w:r>
    </w:p>
    <w:p w14:paraId="6440C066" w14:textId="10DB0C0D" w:rsidR="00E50257" w:rsidRDefault="00E50257" w:rsidP="00E50257">
      <w:pPr>
        <w:jc w:val="both"/>
      </w:pPr>
      <w:r>
        <w:t>For many small and mid-size quoted companies, resources are scarce</w:t>
      </w:r>
      <w:r w:rsidR="00672F13">
        <w:t xml:space="preserve"> </w:t>
      </w:r>
      <w:r w:rsidR="00672F13" w:rsidRPr="0007307F">
        <w:rPr>
          <w:color w:val="FF0000"/>
        </w:rPr>
        <w:t>and with some lack of certainty in the economy at present, companies are being particularly careful with cash and spending</w:t>
      </w:r>
      <w:r w:rsidRPr="0007307F">
        <w:rPr>
          <w:color w:val="FF0000"/>
        </w:rPr>
        <w:t xml:space="preserve">. </w:t>
      </w:r>
      <w:r w:rsidR="00672F13" w:rsidRPr="0007307F">
        <w:rPr>
          <w:color w:val="FF0000"/>
        </w:rPr>
        <w:t>M</w:t>
      </w:r>
      <w:r w:rsidRPr="0007307F">
        <w:rPr>
          <w:color w:val="FF0000"/>
        </w:rPr>
        <w:t xml:space="preserve">any </w:t>
      </w:r>
      <w:r w:rsidR="00672F13" w:rsidRPr="0007307F">
        <w:rPr>
          <w:color w:val="FF0000"/>
        </w:rPr>
        <w:t xml:space="preserve">such companies </w:t>
      </w:r>
      <w:r w:rsidR="00672F13" w:rsidRPr="0007307F">
        <w:rPr>
          <w:color w:val="FF0000"/>
        </w:rPr>
        <w:lastRenderedPageBreak/>
        <w:t>also</w:t>
      </w:r>
      <w:r w:rsidR="00672F13">
        <w:t xml:space="preserve"> </w:t>
      </w:r>
      <w:r>
        <w:t>operate in economic sectors where highly-skilled employees are in high demand</w:t>
      </w:r>
      <w:r w:rsidR="004D204E">
        <w:t>,</w:t>
      </w:r>
      <w:r>
        <w:t xml:space="preserve"> </w:t>
      </w:r>
      <w:r w:rsidR="00672F13" w:rsidRPr="0007307F">
        <w:rPr>
          <w:color w:val="FF0000"/>
        </w:rPr>
        <w:t>such as software and computer gaming development,</w:t>
      </w:r>
      <w:r w:rsidR="00672F13">
        <w:t xml:space="preserve"> </w:t>
      </w:r>
      <w:r>
        <w:t>mean</w:t>
      </w:r>
      <w:r w:rsidR="00672F13">
        <w:t>ing</w:t>
      </w:r>
      <w:r>
        <w:t xml:space="preserve"> that these growing companies can struggle to compete with their larger counterparts in attracting the talent required to drive the company’s growth and development. Employee share ownership schemes therefore provide an alternative and cost-efficient way of recruiting and retaining staff when lucrative remuneration packages cannot be offered.</w:t>
      </w:r>
    </w:p>
    <w:p w14:paraId="2321F866" w14:textId="10530D7E" w:rsidR="00E50257" w:rsidRDefault="00E50257" w:rsidP="00E50257">
      <w:pPr>
        <w:jc w:val="both"/>
      </w:pPr>
      <w:r>
        <w:t xml:space="preserve">This can generate better outcomes for companies. </w:t>
      </w:r>
      <w:r w:rsidR="00672F13">
        <w:t>S</w:t>
      </w:r>
      <w:r>
        <w:t>tudies</w:t>
      </w:r>
      <w:r w:rsidR="00672F13">
        <w:t xml:space="preserve">, </w:t>
      </w:r>
      <w:r w:rsidR="00672F13" w:rsidRPr="0007307F">
        <w:rPr>
          <w:color w:val="FF0000"/>
        </w:rPr>
        <w:t>as well as anecdotal evidence</w:t>
      </w:r>
      <w:r w:rsidR="00672F13">
        <w:t>,</w:t>
      </w:r>
      <w:r>
        <w:t xml:space="preserve"> indicate that higher levels of employee share ownership </w:t>
      </w:r>
      <w:r w:rsidR="00672F13">
        <w:t>tend to</w:t>
      </w:r>
      <w:r>
        <w:t xml:space="preserve"> result in enhanced levels of economic performance – both in terms of turnover and profitability – particularly for smaller, growing companies.</w:t>
      </w:r>
      <w:r>
        <w:rPr>
          <w:rStyle w:val="FootnoteReference"/>
        </w:rPr>
        <w:footnoteReference w:id="26"/>
      </w:r>
      <w:r>
        <w:t xml:space="preserve"> </w:t>
      </w:r>
    </w:p>
    <w:p w14:paraId="5BCDFB17" w14:textId="42EFF364" w:rsidR="00672F13" w:rsidRDefault="00672F13" w:rsidP="00E50257">
      <w:pPr>
        <w:jc w:val="both"/>
      </w:pPr>
      <w:r w:rsidRPr="00672F13">
        <w:t>For instance, workforces with a genuine economic stake in the company they work for will have a closer affinity for their business, as they will benefit directly from the additional value their company creates. This can lead to a more entrepreneurial workforce that actively seeks greater efficiencies, thereby raising productivity and improving product quality. This will support the company to deliver long-term value to all shareholders.</w:t>
      </w:r>
    </w:p>
    <w:p w14:paraId="3D9F7B5C" w14:textId="54394A1B" w:rsidR="009A0C1B" w:rsidRDefault="00E50257" w:rsidP="00E50257">
      <w:pPr>
        <w:jc w:val="both"/>
      </w:pPr>
      <w:r>
        <w:t xml:space="preserve">Both companies and employees benefit from a greater degree of workforce engagement with respect to goal setting, business planning and decision-making on work practices. This can help boost employee motivation, </w:t>
      </w:r>
      <w:r w:rsidR="004D204E">
        <w:t xml:space="preserve">satisfaction and productivity. </w:t>
      </w:r>
    </w:p>
    <w:p w14:paraId="3C27F0FA" w14:textId="5292B2EB" w:rsidR="009A0C1B" w:rsidRPr="0007307F" w:rsidRDefault="009A0C1B" w:rsidP="00E50257">
      <w:pPr>
        <w:jc w:val="both"/>
        <w:rPr>
          <w:color w:val="FF0000"/>
        </w:rPr>
      </w:pPr>
      <w:r w:rsidRPr="0007307F">
        <w:rPr>
          <w:color w:val="FF0000"/>
        </w:rPr>
        <w:t>Greater financial awareness and opportunities for personal development also can be seen to flow from enhanced employee ownership.</w:t>
      </w:r>
    </w:p>
    <w:p w14:paraId="26BA218F" w14:textId="77777777" w:rsidR="00E50257" w:rsidRDefault="00E50257" w:rsidP="00E50257">
      <w:pPr>
        <w:jc w:val="both"/>
        <w:rPr>
          <w:rFonts w:ascii="Calibri" w:hAnsi="Calibri" w:cs="Arial"/>
          <w:lang w:val="en"/>
        </w:rPr>
      </w:pPr>
      <w:r>
        <w:t>These factors in aggregate support the formation of a stable, resilient economy by suppressing unemployment, driving wider economic growth and increasing tax revenue for the Exchequer.</w:t>
      </w:r>
      <w:r w:rsidRPr="00E50257">
        <w:rPr>
          <w:rFonts w:ascii="Calibri" w:hAnsi="Calibri" w:cs="Arial"/>
          <w:lang w:val="en"/>
        </w:rPr>
        <w:t xml:space="preserve"> </w:t>
      </w:r>
    </w:p>
    <w:p w14:paraId="535C25E7" w14:textId="704F3BF8" w:rsidR="00C4032A" w:rsidRDefault="009A0C1B" w:rsidP="00C4032A">
      <w:pPr>
        <w:jc w:val="both"/>
        <w:rPr>
          <w:rFonts w:ascii="Calibri" w:hAnsi="Calibri" w:cs="Calibri"/>
          <w:iCs/>
        </w:rPr>
      </w:pPr>
      <w:r w:rsidRPr="0007307F">
        <w:rPr>
          <w:color w:val="FF0000"/>
        </w:rPr>
        <w:t>Successive</w:t>
      </w:r>
      <w:r w:rsidR="00E50257" w:rsidRPr="0007307F">
        <w:rPr>
          <w:color w:val="FF0000"/>
        </w:rPr>
        <w:t xml:space="preserve"> government</w:t>
      </w:r>
      <w:r w:rsidRPr="0007307F">
        <w:rPr>
          <w:color w:val="FF0000"/>
        </w:rPr>
        <w:t>s</w:t>
      </w:r>
      <w:r w:rsidR="00E50257" w:rsidRPr="0007307F">
        <w:rPr>
          <w:color w:val="FF0000"/>
        </w:rPr>
        <w:t xml:space="preserve"> </w:t>
      </w:r>
      <w:r w:rsidR="00274FFA" w:rsidRPr="0007307F">
        <w:rPr>
          <w:color w:val="FF0000"/>
        </w:rPr>
        <w:t xml:space="preserve">have </w:t>
      </w:r>
      <w:r w:rsidRPr="0007307F">
        <w:rPr>
          <w:color w:val="FF0000"/>
        </w:rPr>
        <w:t>support</w:t>
      </w:r>
      <w:r w:rsidR="00274FFA" w:rsidRPr="0007307F">
        <w:rPr>
          <w:color w:val="FF0000"/>
        </w:rPr>
        <w:t>ed</w:t>
      </w:r>
      <w:r w:rsidRPr="0007307F">
        <w:rPr>
          <w:color w:val="FF0000"/>
        </w:rPr>
        <w:t xml:space="preserve"> employee ownership </w:t>
      </w:r>
      <w:r>
        <w:t>and</w:t>
      </w:r>
      <w:r w:rsidR="004D204E">
        <w:t xml:space="preserve"> </w:t>
      </w:r>
      <w:r w:rsidR="00C4032A" w:rsidRPr="008626E7">
        <w:rPr>
          <w:rFonts w:ascii="Calibri" w:hAnsi="Calibri" w:cs="Calibri"/>
          <w:iCs/>
        </w:rPr>
        <w:t xml:space="preserve">HMRC currently offers four types of </w:t>
      </w:r>
      <w:r w:rsidR="00526E18">
        <w:rPr>
          <w:rFonts w:ascii="Calibri" w:hAnsi="Calibri" w:cs="Calibri"/>
          <w:iCs/>
        </w:rPr>
        <w:t xml:space="preserve">direct, </w:t>
      </w:r>
      <w:r w:rsidR="00C4032A" w:rsidRPr="008626E7">
        <w:rPr>
          <w:rFonts w:ascii="Calibri" w:hAnsi="Calibri" w:cs="Calibri"/>
          <w:iCs/>
        </w:rPr>
        <w:t>tax-advantaged employee share scheme</w:t>
      </w:r>
      <w:r w:rsidR="00526E18">
        <w:rPr>
          <w:rStyle w:val="FootnoteReference"/>
          <w:rFonts w:ascii="Calibri" w:hAnsi="Calibri" w:cs="Calibri"/>
          <w:iCs/>
        </w:rPr>
        <w:footnoteReference w:id="27"/>
      </w:r>
      <w:r w:rsidR="00526E18">
        <w:rPr>
          <w:rFonts w:ascii="Calibri" w:hAnsi="Calibri" w:cs="Calibri"/>
          <w:iCs/>
        </w:rPr>
        <w:t>, to which our comments below relate,</w:t>
      </w:r>
      <w:r w:rsidR="00C4032A" w:rsidRPr="008626E7">
        <w:rPr>
          <w:rFonts w:ascii="Calibri" w:hAnsi="Calibri" w:cs="Calibri"/>
          <w:iCs/>
        </w:rPr>
        <w:t xml:space="preserve"> </w:t>
      </w:r>
      <w:r w:rsidR="00526E18">
        <w:rPr>
          <w:rFonts w:ascii="Calibri" w:hAnsi="Calibri" w:cs="Calibri"/>
          <w:iCs/>
        </w:rPr>
        <w:t>available to</w:t>
      </w:r>
      <w:r w:rsidR="00526E18" w:rsidRPr="008626E7">
        <w:rPr>
          <w:rFonts w:ascii="Calibri" w:hAnsi="Calibri" w:cs="Calibri"/>
          <w:iCs/>
        </w:rPr>
        <w:t xml:space="preserve"> </w:t>
      </w:r>
      <w:r w:rsidR="00C4032A" w:rsidRPr="008626E7">
        <w:rPr>
          <w:rFonts w:ascii="Calibri" w:hAnsi="Calibri" w:cs="Calibri"/>
          <w:iCs/>
        </w:rPr>
        <w:t xml:space="preserve">qualifying companies can use to grant options or make awards over shares directly to their employees: </w:t>
      </w:r>
    </w:p>
    <w:p w14:paraId="34F5826B" w14:textId="7C7D970B" w:rsidR="00714D62" w:rsidRPr="00B92A29" w:rsidRDefault="00ED6EF5" w:rsidP="00233725">
      <w:pPr>
        <w:pStyle w:val="ListParagraph"/>
        <w:numPr>
          <w:ilvl w:val="0"/>
          <w:numId w:val="21"/>
        </w:numPr>
        <w:ind w:left="851" w:hanging="284"/>
        <w:contextualSpacing w:val="0"/>
        <w:jc w:val="both"/>
        <w:rPr>
          <w:rFonts w:ascii="Calibri" w:hAnsi="Calibri" w:cs="Calibri"/>
          <w:iCs/>
        </w:rPr>
      </w:pPr>
      <w:r>
        <w:rPr>
          <w:rFonts w:ascii="Calibri" w:hAnsi="Calibri" w:cs="Calibri"/>
          <w:iCs/>
        </w:rPr>
        <w:t>T</w:t>
      </w:r>
      <w:r w:rsidR="00C4032A" w:rsidRPr="00B92A29">
        <w:rPr>
          <w:rFonts w:ascii="Calibri" w:hAnsi="Calibri" w:cs="Calibri"/>
          <w:iCs/>
        </w:rPr>
        <w:t xml:space="preserve">he Company Share Option Plan (CSOP); </w:t>
      </w:r>
    </w:p>
    <w:p w14:paraId="762806F0" w14:textId="79188BE9" w:rsidR="00714D62" w:rsidRPr="00233725" w:rsidRDefault="00C4032A" w:rsidP="00233725">
      <w:pPr>
        <w:pStyle w:val="ListParagraph"/>
        <w:numPr>
          <w:ilvl w:val="0"/>
          <w:numId w:val="21"/>
        </w:numPr>
        <w:ind w:left="851" w:hanging="284"/>
        <w:contextualSpacing w:val="0"/>
        <w:jc w:val="both"/>
        <w:rPr>
          <w:rFonts w:ascii="Calibri" w:hAnsi="Calibri" w:cs="Calibri"/>
          <w:iCs/>
        </w:rPr>
      </w:pPr>
      <w:r w:rsidRPr="00233725">
        <w:rPr>
          <w:rFonts w:ascii="Calibri" w:hAnsi="Calibri" w:cs="Calibri"/>
          <w:iCs/>
        </w:rPr>
        <w:t xml:space="preserve">Enterprise Management Incentives (EMIs); </w:t>
      </w:r>
    </w:p>
    <w:p w14:paraId="1380B7C2" w14:textId="3DBC60DB" w:rsidR="00714D62" w:rsidRPr="00233725" w:rsidRDefault="00ED6EF5" w:rsidP="00233725">
      <w:pPr>
        <w:pStyle w:val="ListParagraph"/>
        <w:numPr>
          <w:ilvl w:val="0"/>
          <w:numId w:val="21"/>
        </w:numPr>
        <w:ind w:left="851" w:hanging="284"/>
        <w:contextualSpacing w:val="0"/>
        <w:jc w:val="both"/>
        <w:rPr>
          <w:rFonts w:ascii="Calibri" w:hAnsi="Calibri" w:cs="Calibri"/>
          <w:iCs/>
        </w:rPr>
      </w:pPr>
      <w:r w:rsidRPr="00233725">
        <w:rPr>
          <w:rFonts w:ascii="Calibri" w:hAnsi="Calibri" w:cs="Calibri"/>
          <w:iCs/>
        </w:rPr>
        <w:t>T</w:t>
      </w:r>
      <w:r w:rsidR="00C4032A" w:rsidRPr="00233725">
        <w:rPr>
          <w:rFonts w:ascii="Calibri" w:hAnsi="Calibri" w:cs="Calibri"/>
          <w:iCs/>
        </w:rPr>
        <w:t xml:space="preserve">he Save As You Earn (SAYE) Plan; </w:t>
      </w:r>
      <w:r w:rsidR="00C4032A" w:rsidRPr="00526E18">
        <w:rPr>
          <w:rFonts w:ascii="Calibri" w:hAnsi="Calibri" w:cs="Calibri"/>
          <w:iCs/>
        </w:rPr>
        <w:t>and</w:t>
      </w:r>
    </w:p>
    <w:p w14:paraId="101F0805" w14:textId="77777777" w:rsidR="00C4032A" w:rsidRPr="00233725" w:rsidRDefault="00ED6EF5" w:rsidP="00233725">
      <w:pPr>
        <w:pStyle w:val="ListParagraph"/>
        <w:numPr>
          <w:ilvl w:val="0"/>
          <w:numId w:val="21"/>
        </w:numPr>
        <w:ind w:left="851" w:hanging="284"/>
        <w:contextualSpacing w:val="0"/>
        <w:jc w:val="both"/>
        <w:rPr>
          <w:rFonts w:ascii="Calibri" w:hAnsi="Calibri" w:cs="Calibri"/>
          <w:iCs/>
        </w:rPr>
      </w:pPr>
      <w:r w:rsidRPr="00233725">
        <w:rPr>
          <w:rFonts w:ascii="Calibri" w:hAnsi="Calibri" w:cs="Calibri"/>
          <w:iCs/>
        </w:rPr>
        <w:t>T</w:t>
      </w:r>
      <w:r w:rsidR="00C4032A" w:rsidRPr="00233725">
        <w:rPr>
          <w:rFonts w:ascii="Calibri" w:hAnsi="Calibri" w:cs="Calibri"/>
          <w:iCs/>
        </w:rPr>
        <w:t>he Share Incentive Plan (SIP).</w:t>
      </w:r>
    </w:p>
    <w:p w14:paraId="77ED56EE" w14:textId="77777777" w:rsidR="00ED6EF5" w:rsidRPr="008626E7" w:rsidRDefault="00ED6EF5" w:rsidP="00ED6EF5">
      <w:pPr>
        <w:jc w:val="both"/>
        <w:rPr>
          <w:rFonts w:ascii="Calibri" w:hAnsi="Calibri" w:cs="Calibri"/>
          <w:b/>
          <w:i/>
          <w:iCs/>
        </w:rPr>
      </w:pPr>
      <w:r w:rsidRPr="008626E7">
        <w:rPr>
          <w:rFonts w:ascii="Calibri" w:hAnsi="Calibri" w:cs="Calibri"/>
          <w:b/>
          <w:i/>
          <w:iCs/>
        </w:rPr>
        <w:t>CSOP</w:t>
      </w:r>
    </w:p>
    <w:p w14:paraId="672CEFDB" w14:textId="7A12C1BF" w:rsidR="00ED6EF5" w:rsidRDefault="00ED6EF5" w:rsidP="00C4032A">
      <w:pPr>
        <w:jc w:val="both"/>
        <w:rPr>
          <w:rFonts w:ascii="Calibri" w:hAnsi="Calibri" w:cs="Calibri"/>
          <w:iCs/>
        </w:rPr>
      </w:pPr>
      <w:r>
        <w:rPr>
          <w:rFonts w:ascii="Calibri" w:hAnsi="Calibri" w:cs="Calibri"/>
          <w:iCs/>
        </w:rPr>
        <w:t xml:space="preserve">The </w:t>
      </w:r>
      <w:r w:rsidR="00C4032A" w:rsidRPr="008626E7">
        <w:rPr>
          <w:rFonts w:ascii="Calibri" w:hAnsi="Calibri" w:cs="Calibri"/>
          <w:iCs/>
        </w:rPr>
        <w:t xml:space="preserve">CSOP is a </w:t>
      </w:r>
      <w:r w:rsidR="00563D62">
        <w:rPr>
          <w:rFonts w:ascii="Calibri" w:hAnsi="Calibri" w:cs="Calibri"/>
          <w:iCs/>
        </w:rPr>
        <w:t>long-established</w:t>
      </w:r>
      <w:r w:rsidR="00C4032A" w:rsidRPr="008626E7">
        <w:rPr>
          <w:rFonts w:ascii="Calibri" w:hAnsi="Calibri" w:cs="Calibri"/>
          <w:iCs/>
        </w:rPr>
        <w:t xml:space="preserve"> discretiona</w:t>
      </w:r>
      <w:r w:rsidR="00C4032A">
        <w:rPr>
          <w:rFonts w:ascii="Calibri" w:hAnsi="Calibri" w:cs="Calibri"/>
          <w:iCs/>
        </w:rPr>
        <w:t xml:space="preserve">ry tax-advantaged share scheme. It </w:t>
      </w:r>
      <w:r w:rsidR="00C4032A" w:rsidRPr="008626E7">
        <w:rPr>
          <w:rFonts w:ascii="Calibri" w:hAnsi="Calibri" w:cs="Calibri"/>
          <w:iCs/>
        </w:rPr>
        <w:t xml:space="preserve">is </w:t>
      </w:r>
      <w:r w:rsidR="00563D62">
        <w:rPr>
          <w:rFonts w:ascii="Calibri" w:hAnsi="Calibri" w:cs="Calibri"/>
          <w:iCs/>
        </w:rPr>
        <w:t>typically used</w:t>
      </w:r>
      <w:r w:rsidR="00563D62" w:rsidRPr="008626E7">
        <w:rPr>
          <w:rFonts w:ascii="Calibri" w:hAnsi="Calibri" w:cs="Calibri"/>
          <w:iCs/>
        </w:rPr>
        <w:t xml:space="preserve"> </w:t>
      </w:r>
      <w:r w:rsidR="00C4032A" w:rsidRPr="008626E7">
        <w:rPr>
          <w:rFonts w:ascii="Calibri" w:hAnsi="Calibri" w:cs="Calibri"/>
          <w:iCs/>
        </w:rPr>
        <w:t xml:space="preserve">for rewarding </w:t>
      </w:r>
      <w:r w:rsidR="00604006" w:rsidRPr="0007307F">
        <w:rPr>
          <w:rFonts w:ascii="Calibri" w:hAnsi="Calibri" w:cs="Calibri"/>
          <w:iCs/>
          <w:color w:val="FF0000"/>
        </w:rPr>
        <w:t xml:space="preserve">employees and </w:t>
      </w:r>
      <w:r w:rsidR="00563D62">
        <w:rPr>
          <w:rFonts w:ascii="Calibri" w:hAnsi="Calibri" w:cs="Calibri"/>
          <w:iCs/>
        </w:rPr>
        <w:t xml:space="preserve">full-time </w:t>
      </w:r>
      <w:r w:rsidR="00526E18">
        <w:rPr>
          <w:rFonts w:ascii="Calibri" w:hAnsi="Calibri" w:cs="Calibri"/>
          <w:iCs/>
        </w:rPr>
        <w:t>executives</w:t>
      </w:r>
      <w:r w:rsidR="00604006">
        <w:rPr>
          <w:rFonts w:ascii="Calibri" w:hAnsi="Calibri" w:cs="Calibri"/>
          <w:iCs/>
        </w:rPr>
        <w:t xml:space="preserve">, as well as </w:t>
      </w:r>
      <w:r w:rsidR="00C4032A" w:rsidRPr="008626E7">
        <w:rPr>
          <w:rFonts w:ascii="Calibri" w:hAnsi="Calibri" w:cs="Calibri"/>
          <w:iCs/>
        </w:rPr>
        <w:t>in small</w:t>
      </w:r>
      <w:r w:rsidR="00526E18">
        <w:rPr>
          <w:rFonts w:ascii="Calibri" w:hAnsi="Calibri" w:cs="Calibri"/>
          <w:iCs/>
        </w:rPr>
        <w:t xml:space="preserve"> and mid-sized</w:t>
      </w:r>
      <w:r w:rsidR="00C4032A" w:rsidRPr="008626E7">
        <w:rPr>
          <w:rFonts w:ascii="Calibri" w:hAnsi="Calibri" w:cs="Calibri"/>
          <w:iCs/>
        </w:rPr>
        <w:t xml:space="preserve"> companies that do not</w:t>
      </w:r>
      <w:r w:rsidR="00C4032A">
        <w:rPr>
          <w:rFonts w:ascii="Calibri" w:hAnsi="Calibri" w:cs="Calibri"/>
          <w:iCs/>
        </w:rPr>
        <w:t xml:space="preserve"> qualify to grant EMI options</w:t>
      </w:r>
      <w:r w:rsidR="00563D62">
        <w:rPr>
          <w:rFonts w:ascii="Calibri" w:hAnsi="Calibri" w:cs="Calibri"/>
          <w:iCs/>
        </w:rPr>
        <w:t xml:space="preserve"> (for example, </w:t>
      </w:r>
      <w:r w:rsidR="00563D62" w:rsidRPr="0007307F">
        <w:rPr>
          <w:rFonts w:ascii="Calibri" w:hAnsi="Calibri" w:cs="Calibri"/>
          <w:iCs/>
          <w:color w:val="FF0000"/>
        </w:rPr>
        <w:t xml:space="preserve">where the </w:t>
      </w:r>
      <w:r w:rsidR="00604006" w:rsidRPr="0007307F">
        <w:rPr>
          <w:rFonts w:ascii="Calibri" w:hAnsi="Calibri" w:cs="Calibri"/>
          <w:iCs/>
          <w:color w:val="FF0000"/>
        </w:rPr>
        <w:t>company is still developing its trade</w:t>
      </w:r>
      <w:r w:rsidR="00563D62" w:rsidRPr="0007307F">
        <w:rPr>
          <w:rFonts w:ascii="Calibri" w:hAnsi="Calibri" w:cs="Calibri"/>
          <w:iCs/>
          <w:color w:val="FF0000"/>
        </w:rPr>
        <w:t xml:space="preserve"> </w:t>
      </w:r>
      <w:r w:rsidR="00563D62">
        <w:rPr>
          <w:rFonts w:ascii="Calibri" w:hAnsi="Calibri" w:cs="Calibri"/>
          <w:iCs/>
        </w:rPr>
        <w:t>or where the company has grown such that the number of employees exceeds the 250 full-time employees limit)</w:t>
      </w:r>
      <w:r w:rsidR="00C4032A">
        <w:rPr>
          <w:rFonts w:ascii="Calibri" w:hAnsi="Calibri" w:cs="Calibri"/>
          <w:iCs/>
        </w:rPr>
        <w:t xml:space="preserve">. </w:t>
      </w:r>
    </w:p>
    <w:p w14:paraId="41FA8717" w14:textId="77B89856" w:rsidR="00C4032A" w:rsidRPr="008626E7" w:rsidRDefault="00604006" w:rsidP="00C4032A">
      <w:pPr>
        <w:jc w:val="both"/>
        <w:rPr>
          <w:rFonts w:ascii="Calibri" w:hAnsi="Calibri" w:cs="Calibri"/>
          <w:iCs/>
        </w:rPr>
      </w:pPr>
      <w:r>
        <w:rPr>
          <w:rFonts w:ascii="Calibri" w:hAnsi="Calibri" w:cs="Calibri"/>
          <w:iCs/>
        </w:rPr>
        <w:lastRenderedPageBreak/>
        <w:t>C</w:t>
      </w:r>
      <w:r w:rsidR="00C4032A" w:rsidRPr="008626E7">
        <w:rPr>
          <w:rFonts w:ascii="Calibri" w:hAnsi="Calibri" w:cs="Calibri"/>
          <w:iCs/>
        </w:rPr>
        <w:t xml:space="preserve">ompanies </w:t>
      </w:r>
      <w:r w:rsidR="00563D62">
        <w:rPr>
          <w:rFonts w:ascii="Calibri" w:hAnsi="Calibri" w:cs="Calibri"/>
          <w:iCs/>
        </w:rPr>
        <w:t xml:space="preserve">may also qualify for one of </w:t>
      </w:r>
      <w:r w:rsidR="00C4032A" w:rsidRPr="008626E7">
        <w:rPr>
          <w:rFonts w:ascii="Calibri" w:hAnsi="Calibri" w:cs="Calibri"/>
          <w:iCs/>
        </w:rPr>
        <w:t xml:space="preserve">the tax-advantaged all-employee share plans </w:t>
      </w:r>
      <w:r w:rsidR="00563D62">
        <w:rPr>
          <w:rFonts w:ascii="Calibri" w:hAnsi="Calibri" w:cs="Calibri"/>
          <w:iCs/>
        </w:rPr>
        <w:t>(</w:t>
      </w:r>
      <w:r w:rsidR="00C4032A" w:rsidRPr="008626E7">
        <w:rPr>
          <w:rFonts w:ascii="Calibri" w:hAnsi="Calibri" w:cs="Calibri"/>
          <w:iCs/>
        </w:rPr>
        <w:t>SAYE Plans and SIPs</w:t>
      </w:r>
      <w:r w:rsidR="00563D62">
        <w:rPr>
          <w:rFonts w:ascii="Calibri" w:hAnsi="Calibri" w:cs="Calibri"/>
          <w:iCs/>
        </w:rPr>
        <w:t>),</w:t>
      </w:r>
      <w:r w:rsidR="00C4032A" w:rsidRPr="008626E7">
        <w:rPr>
          <w:rFonts w:ascii="Calibri" w:hAnsi="Calibri" w:cs="Calibri"/>
          <w:iCs/>
        </w:rPr>
        <w:t xml:space="preserve"> </w:t>
      </w:r>
      <w:r w:rsidR="00563D62">
        <w:rPr>
          <w:rFonts w:ascii="Calibri" w:hAnsi="Calibri" w:cs="Calibri"/>
          <w:iCs/>
        </w:rPr>
        <w:t>however</w:t>
      </w:r>
      <w:r w:rsidR="007F571B">
        <w:rPr>
          <w:rFonts w:ascii="Calibri" w:hAnsi="Calibri" w:cs="Calibri"/>
          <w:iCs/>
        </w:rPr>
        <w:t>,</w:t>
      </w:r>
      <w:r w:rsidR="00563D62">
        <w:rPr>
          <w:rFonts w:ascii="Calibri" w:hAnsi="Calibri" w:cs="Calibri"/>
          <w:iCs/>
        </w:rPr>
        <w:t xml:space="preserve"> in practice</w:t>
      </w:r>
      <w:r w:rsidR="007F571B">
        <w:rPr>
          <w:rFonts w:ascii="Calibri" w:hAnsi="Calibri" w:cs="Calibri"/>
          <w:iCs/>
        </w:rPr>
        <w:t>,</w:t>
      </w:r>
      <w:r w:rsidR="00563D62">
        <w:rPr>
          <w:rFonts w:ascii="Calibri" w:hAnsi="Calibri" w:cs="Calibri"/>
          <w:iCs/>
        </w:rPr>
        <w:t xml:space="preserve"> </w:t>
      </w:r>
      <w:r w:rsidRPr="004051D8">
        <w:rPr>
          <w:rFonts w:ascii="Calibri" w:hAnsi="Calibri" w:cs="Calibri"/>
          <w:iCs/>
          <w:color w:val="FF0000"/>
        </w:rPr>
        <w:t>multiple</w:t>
      </w:r>
      <w:r w:rsidR="00563D62" w:rsidRPr="004051D8">
        <w:rPr>
          <w:rFonts w:ascii="Calibri" w:hAnsi="Calibri" w:cs="Calibri"/>
          <w:iCs/>
          <w:color w:val="FF0000"/>
        </w:rPr>
        <w:t xml:space="preserve"> </w:t>
      </w:r>
      <w:r w:rsidR="00563D62">
        <w:rPr>
          <w:rFonts w:ascii="Calibri" w:hAnsi="Calibri" w:cs="Calibri"/>
          <w:iCs/>
        </w:rPr>
        <w:t xml:space="preserve">plans are not frequently used by </w:t>
      </w:r>
      <w:r w:rsidRPr="004051D8">
        <w:rPr>
          <w:rFonts w:ascii="Calibri" w:hAnsi="Calibri" w:cs="Calibri"/>
          <w:iCs/>
          <w:color w:val="FF0000"/>
        </w:rPr>
        <w:t xml:space="preserve">smaller </w:t>
      </w:r>
      <w:r w:rsidR="00563D62">
        <w:rPr>
          <w:rFonts w:ascii="Calibri" w:hAnsi="Calibri" w:cs="Calibri"/>
          <w:iCs/>
        </w:rPr>
        <w:t>companies.</w:t>
      </w:r>
      <w:r w:rsidR="00A21E89">
        <w:rPr>
          <w:rStyle w:val="FootnoteReference"/>
          <w:rFonts w:ascii="Calibri" w:hAnsi="Calibri" w:cs="Calibri"/>
          <w:iCs/>
        </w:rPr>
        <w:footnoteReference w:id="28"/>
      </w:r>
      <w:r w:rsidR="00563D62">
        <w:rPr>
          <w:rFonts w:ascii="Calibri" w:hAnsi="Calibri" w:cs="Calibri"/>
          <w:iCs/>
        </w:rPr>
        <w:t xml:space="preserve"> This is </w:t>
      </w:r>
      <w:r w:rsidR="00AC03C5" w:rsidRPr="004051D8">
        <w:rPr>
          <w:rFonts w:ascii="Calibri" w:hAnsi="Calibri" w:cs="Calibri"/>
          <w:iCs/>
          <w:color w:val="FF0000"/>
        </w:rPr>
        <w:t xml:space="preserve">probably </w:t>
      </w:r>
      <w:r w:rsidR="00563D62">
        <w:rPr>
          <w:rFonts w:ascii="Calibri" w:hAnsi="Calibri" w:cs="Calibri"/>
          <w:iCs/>
        </w:rPr>
        <w:t>due to</w:t>
      </w:r>
      <w:r w:rsidR="00AA5DE1">
        <w:rPr>
          <w:rFonts w:ascii="Calibri" w:hAnsi="Calibri" w:cs="Calibri"/>
          <w:iCs/>
        </w:rPr>
        <w:t xml:space="preserve"> the proportionately</w:t>
      </w:r>
      <w:r w:rsidR="00563D62" w:rsidRPr="008626E7" w:rsidDel="00563D62">
        <w:rPr>
          <w:rFonts w:ascii="Calibri" w:hAnsi="Calibri" w:cs="Calibri"/>
          <w:iCs/>
        </w:rPr>
        <w:t xml:space="preserve"> </w:t>
      </w:r>
      <w:r w:rsidR="00C4032A" w:rsidRPr="008626E7">
        <w:rPr>
          <w:rFonts w:ascii="Calibri" w:hAnsi="Calibri" w:cs="Calibri"/>
          <w:iCs/>
        </w:rPr>
        <w:t>greater administration obligations</w:t>
      </w:r>
      <w:r w:rsidR="00C4032A">
        <w:rPr>
          <w:rFonts w:ascii="Calibri" w:hAnsi="Calibri" w:cs="Calibri"/>
          <w:iCs/>
        </w:rPr>
        <w:t xml:space="preserve"> and higher</w:t>
      </w:r>
      <w:r w:rsidR="00C4032A" w:rsidRPr="008626E7">
        <w:rPr>
          <w:rFonts w:ascii="Calibri" w:hAnsi="Calibri" w:cs="Calibri"/>
          <w:iCs/>
        </w:rPr>
        <w:t xml:space="preserve"> </w:t>
      </w:r>
      <w:r w:rsidR="00C4032A">
        <w:rPr>
          <w:rFonts w:ascii="Calibri" w:hAnsi="Calibri" w:cs="Calibri"/>
          <w:iCs/>
        </w:rPr>
        <w:t xml:space="preserve">associated costs of </w:t>
      </w:r>
      <w:r w:rsidR="00AC03C5" w:rsidRPr="004051D8">
        <w:rPr>
          <w:rFonts w:ascii="Calibri" w:hAnsi="Calibri" w:cs="Calibri"/>
          <w:iCs/>
          <w:color w:val="FF0000"/>
        </w:rPr>
        <w:t>all-employee and multiple</w:t>
      </w:r>
      <w:r w:rsidR="00AC03C5" w:rsidRPr="008626E7">
        <w:rPr>
          <w:rFonts w:ascii="Calibri" w:hAnsi="Calibri" w:cs="Calibri"/>
          <w:iCs/>
        </w:rPr>
        <w:t xml:space="preserve"> </w:t>
      </w:r>
      <w:r w:rsidR="00C4032A" w:rsidRPr="008626E7">
        <w:rPr>
          <w:rFonts w:ascii="Calibri" w:hAnsi="Calibri" w:cs="Calibri"/>
          <w:iCs/>
        </w:rPr>
        <w:t>plans</w:t>
      </w:r>
      <w:r w:rsidR="00563D62">
        <w:rPr>
          <w:rFonts w:ascii="Calibri" w:hAnsi="Calibri" w:cs="Calibri"/>
          <w:iCs/>
        </w:rPr>
        <w:t xml:space="preserve">; the company </w:t>
      </w:r>
      <w:r w:rsidR="00C4032A" w:rsidRPr="008626E7">
        <w:rPr>
          <w:rFonts w:ascii="Calibri" w:hAnsi="Calibri" w:cs="Calibri"/>
          <w:iCs/>
        </w:rPr>
        <w:t xml:space="preserve">might need to hire an additional person to deal with </w:t>
      </w:r>
      <w:r w:rsidR="00563D62">
        <w:rPr>
          <w:rFonts w:ascii="Calibri" w:hAnsi="Calibri" w:cs="Calibri"/>
          <w:iCs/>
        </w:rPr>
        <w:t>the administration in-house, or alternatively</w:t>
      </w:r>
      <w:r w:rsidR="00C4032A">
        <w:rPr>
          <w:rFonts w:ascii="Calibri" w:hAnsi="Calibri" w:cs="Calibri"/>
          <w:iCs/>
        </w:rPr>
        <w:t>,</w:t>
      </w:r>
      <w:r w:rsidR="00C4032A" w:rsidRPr="008626E7">
        <w:rPr>
          <w:rFonts w:ascii="Calibri" w:hAnsi="Calibri" w:cs="Calibri"/>
          <w:iCs/>
        </w:rPr>
        <w:t xml:space="preserve"> </w:t>
      </w:r>
      <w:r w:rsidR="00563D62">
        <w:rPr>
          <w:rFonts w:ascii="Calibri" w:hAnsi="Calibri" w:cs="Calibri"/>
          <w:iCs/>
        </w:rPr>
        <w:t>pay</w:t>
      </w:r>
      <w:r w:rsidR="00C4032A" w:rsidRPr="008626E7">
        <w:rPr>
          <w:rFonts w:ascii="Calibri" w:hAnsi="Calibri" w:cs="Calibri"/>
          <w:iCs/>
        </w:rPr>
        <w:t xml:space="preserve"> an administrator and savings provider for SAYE and/or a professional trustee for SIP. </w:t>
      </w:r>
      <w:r w:rsidR="00AA5DE1">
        <w:rPr>
          <w:rFonts w:ascii="Calibri" w:hAnsi="Calibri" w:cs="Calibri"/>
          <w:iCs/>
        </w:rPr>
        <w:t>This makes the cost per participant significantly higher for SMEs.</w:t>
      </w:r>
    </w:p>
    <w:p w14:paraId="431D51BA" w14:textId="594AA6BF" w:rsidR="00C4032A" w:rsidRDefault="00563D62" w:rsidP="00C4032A">
      <w:pPr>
        <w:jc w:val="both"/>
        <w:rPr>
          <w:rFonts w:ascii="Calibri" w:hAnsi="Calibri" w:cs="Calibri"/>
          <w:iCs/>
        </w:rPr>
      </w:pPr>
      <w:r>
        <w:rPr>
          <w:rFonts w:ascii="Calibri" w:hAnsi="Calibri" w:cs="Calibri"/>
          <w:iCs/>
        </w:rPr>
        <w:t>Accordingly, in practice, the CSOP is often the only realistic alternative for a company to consider if it does not qualify for</w:t>
      </w:r>
      <w:r w:rsidR="00F014EE" w:rsidRPr="004051D8">
        <w:rPr>
          <w:rFonts w:ascii="Calibri" w:hAnsi="Calibri" w:cs="Calibri"/>
          <w:iCs/>
          <w:color w:val="FF0000"/>
        </w:rPr>
        <w:t xml:space="preserve">, or has outgrown, </w:t>
      </w:r>
      <w:r w:rsidR="00F014EE">
        <w:rPr>
          <w:rFonts w:ascii="Calibri" w:hAnsi="Calibri" w:cs="Calibri"/>
          <w:iCs/>
        </w:rPr>
        <w:t>an</w:t>
      </w:r>
      <w:r>
        <w:rPr>
          <w:rFonts w:ascii="Calibri" w:hAnsi="Calibri" w:cs="Calibri"/>
          <w:iCs/>
        </w:rPr>
        <w:t xml:space="preserve"> EMI.</w:t>
      </w:r>
      <w:r w:rsidRPr="006078F9">
        <w:rPr>
          <w:rFonts w:ascii="Calibri" w:hAnsi="Calibri" w:cs="Calibri"/>
          <w:iCs/>
        </w:rPr>
        <w:t> </w:t>
      </w:r>
      <w:r>
        <w:rPr>
          <w:rFonts w:ascii="Calibri" w:hAnsi="Calibri" w:cs="Calibri"/>
          <w:iCs/>
        </w:rPr>
        <w:t xml:space="preserve">If the company qualifies, a </w:t>
      </w:r>
      <w:r w:rsidR="00C4032A" w:rsidRPr="008626E7">
        <w:rPr>
          <w:rFonts w:ascii="Calibri" w:hAnsi="Calibri" w:cs="Calibri"/>
          <w:iCs/>
        </w:rPr>
        <w:t xml:space="preserve">CSOP can be governed by a relatively simple set of rules </w:t>
      </w:r>
      <w:r w:rsidR="00F014EE" w:rsidRPr="004051D8">
        <w:rPr>
          <w:rFonts w:ascii="Calibri" w:hAnsi="Calibri" w:cs="Calibri"/>
          <w:iCs/>
          <w:color w:val="FF0000"/>
        </w:rPr>
        <w:t xml:space="preserve">compared with SIPs and SAYE </w:t>
      </w:r>
      <w:r w:rsidR="00C4032A" w:rsidRPr="008626E7">
        <w:rPr>
          <w:rFonts w:ascii="Calibri" w:hAnsi="Calibri" w:cs="Calibri"/>
          <w:iCs/>
        </w:rPr>
        <w:t xml:space="preserve">and can be </w:t>
      </w:r>
      <w:r w:rsidR="00F014EE">
        <w:rPr>
          <w:rFonts w:ascii="Calibri" w:hAnsi="Calibri" w:cs="Calibri"/>
          <w:iCs/>
        </w:rPr>
        <w:t xml:space="preserve">more </w:t>
      </w:r>
      <w:r w:rsidR="00C4032A" w:rsidRPr="008626E7">
        <w:rPr>
          <w:rFonts w:ascii="Calibri" w:hAnsi="Calibri" w:cs="Calibri"/>
          <w:iCs/>
        </w:rPr>
        <w:t xml:space="preserve">easily administered </w:t>
      </w:r>
      <w:r w:rsidR="00F014EE" w:rsidRPr="004051D8">
        <w:rPr>
          <w:rFonts w:ascii="Calibri" w:hAnsi="Calibri" w:cs="Calibri"/>
          <w:iCs/>
          <w:color w:val="FF0000"/>
        </w:rPr>
        <w:t>in-house</w:t>
      </w:r>
      <w:r w:rsidR="00C4032A" w:rsidRPr="008626E7">
        <w:rPr>
          <w:rFonts w:ascii="Calibri" w:hAnsi="Calibri" w:cs="Calibri"/>
          <w:iCs/>
        </w:rPr>
        <w:t>.</w:t>
      </w:r>
    </w:p>
    <w:p w14:paraId="29F95826" w14:textId="7FB90603" w:rsidR="00F014EE" w:rsidRPr="004051D8" w:rsidRDefault="00AA5DE1" w:rsidP="00563D62">
      <w:pPr>
        <w:jc w:val="both"/>
        <w:rPr>
          <w:rFonts w:ascii="Calibri" w:hAnsi="Calibri" w:cs="Calibri"/>
          <w:iCs/>
          <w:color w:val="FF0000"/>
        </w:rPr>
      </w:pPr>
      <w:r>
        <w:rPr>
          <w:rFonts w:ascii="Calibri" w:hAnsi="Calibri" w:cs="Calibri"/>
          <w:iCs/>
        </w:rPr>
        <w:t>T</w:t>
      </w:r>
      <w:r w:rsidR="00BA4D98">
        <w:rPr>
          <w:rFonts w:ascii="Calibri" w:hAnsi="Calibri" w:cs="Calibri"/>
          <w:iCs/>
        </w:rPr>
        <w:t xml:space="preserve">here is a significant </w:t>
      </w:r>
      <w:r w:rsidR="00F014EE" w:rsidRPr="004051D8">
        <w:rPr>
          <w:rFonts w:ascii="Calibri" w:hAnsi="Calibri" w:cs="Calibri"/>
          <w:iCs/>
          <w:color w:val="FF0000"/>
        </w:rPr>
        <w:t>cliff, however</w:t>
      </w:r>
      <w:r w:rsidR="00F014EE">
        <w:rPr>
          <w:rFonts w:ascii="Calibri" w:hAnsi="Calibri" w:cs="Calibri"/>
          <w:iCs/>
        </w:rPr>
        <w:t xml:space="preserve">, </w:t>
      </w:r>
      <w:r w:rsidR="00563D62">
        <w:rPr>
          <w:rFonts w:ascii="Calibri" w:hAnsi="Calibri" w:cs="Calibri"/>
          <w:iCs/>
        </w:rPr>
        <w:t>between what a company</w:t>
      </w:r>
      <w:r w:rsidR="00F014EE">
        <w:rPr>
          <w:rFonts w:ascii="Calibri" w:hAnsi="Calibri" w:cs="Calibri"/>
          <w:iCs/>
        </w:rPr>
        <w:t>’s</w:t>
      </w:r>
      <w:r w:rsidR="00563D62">
        <w:rPr>
          <w:rFonts w:ascii="Calibri" w:hAnsi="Calibri" w:cs="Calibri"/>
          <w:iCs/>
        </w:rPr>
        <w:t xml:space="preserve"> </w:t>
      </w:r>
      <w:r w:rsidR="00F014EE" w:rsidRPr="004051D8">
        <w:rPr>
          <w:rFonts w:ascii="Calibri" w:hAnsi="Calibri" w:cs="Calibri"/>
          <w:iCs/>
          <w:color w:val="FF0000"/>
        </w:rPr>
        <w:t xml:space="preserve">offering </w:t>
      </w:r>
      <w:r w:rsidR="00563D62">
        <w:rPr>
          <w:rFonts w:ascii="Calibri" w:hAnsi="Calibri" w:cs="Calibri"/>
          <w:iCs/>
        </w:rPr>
        <w:t>under the flexible EMI regime and the more restrictive CSOP</w:t>
      </w:r>
      <w:r w:rsidR="00526E18">
        <w:rPr>
          <w:rFonts w:ascii="Calibri" w:hAnsi="Calibri" w:cs="Calibri"/>
          <w:iCs/>
        </w:rPr>
        <w:t xml:space="preserve">. This is </w:t>
      </w:r>
      <w:r w:rsidR="00563D62">
        <w:rPr>
          <w:rFonts w:ascii="Calibri" w:hAnsi="Calibri" w:cs="Calibri"/>
          <w:iCs/>
        </w:rPr>
        <w:t xml:space="preserve">due to </w:t>
      </w:r>
      <w:r w:rsidR="00F014EE" w:rsidRPr="007F571B">
        <w:rPr>
          <w:rFonts w:ascii="Calibri" w:hAnsi="Calibri" w:cs="Calibri"/>
          <w:iCs/>
          <w:color w:val="FF0000"/>
        </w:rPr>
        <w:t xml:space="preserve">(1) </w:t>
      </w:r>
      <w:r w:rsidR="00563D62">
        <w:rPr>
          <w:rFonts w:ascii="Calibri" w:hAnsi="Calibri" w:cs="Calibri"/>
          <w:iCs/>
        </w:rPr>
        <w:t xml:space="preserve">the individual limits on the </w:t>
      </w:r>
      <w:r w:rsidR="004051D8" w:rsidRPr="004051D8">
        <w:rPr>
          <w:rFonts w:ascii="Calibri" w:hAnsi="Calibri" w:cs="Calibri"/>
          <w:iCs/>
          <w:color w:val="FF0000"/>
        </w:rPr>
        <w:t>share</w:t>
      </w:r>
      <w:r w:rsidR="00563D62" w:rsidRPr="004051D8">
        <w:rPr>
          <w:rFonts w:ascii="Calibri" w:hAnsi="Calibri" w:cs="Calibri"/>
          <w:iCs/>
          <w:color w:val="FF0000"/>
        </w:rPr>
        <w:t xml:space="preserve"> </w:t>
      </w:r>
      <w:r w:rsidR="00563D62">
        <w:rPr>
          <w:rFonts w:ascii="Calibri" w:hAnsi="Calibri" w:cs="Calibri"/>
          <w:iCs/>
        </w:rPr>
        <w:t>value under option</w:t>
      </w:r>
      <w:r w:rsidR="00F014EE">
        <w:rPr>
          <w:rFonts w:ascii="Calibri" w:hAnsi="Calibri" w:cs="Calibri"/>
          <w:iCs/>
        </w:rPr>
        <w:t xml:space="preserve"> </w:t>
      </w:r>
      <w:r w:rsidR="00F014EE" w:rsidRPr="004051D8">
        <w:rPr>
          <w:rFonts w:ascii="Calibri" w:hAnsi="Calibri" w:cs="Calibri"/>
          <w:iCs/>
          <w:color w:val="FF0000"/>
        </w:rPr>
        <w:t>(less than one-eighth of an EMI plan</w:t>
      </w:r>
      <w:r w:rsidR="00563D62" w:rsidRPr="007F571B">
        <w:rPr>
          <w:rFonts w:ascii="Calibri" w:hAnsi="Calibri" w:cs="Calibri"/>
          <w:iCs/>
          <w:color w:val="FF0000"/>
        </w:rPr>
        <w:t xml:space="preserve">) </w:t>
      </w:r>
      <w:r w:rsidR="007F571B" w:rsidRPr="007F571B">
        <w:rPr>
          <w:rFonts w:ascii="Calibri" w:hAnsi="Calibri" w:cs="Calibri"/>
          <w:iCs/>
          <w:color w:val="FF0000"/>
        </w:rPr>
        <w:t xml:space="preserve">and </w:t>
      </w:r>
      <w:r w:rsidR="00F014EE" w:rsidRPr="007F571B">
        <w:rPr>
          <w:rFonts w:ascii="Calibri" w:hAnsi="Calibri" w:cs="Calibri"/>
          <w:iCs/>
          <w:color w:val="FF0000"/>
        </w:rPr>
        <w:t xml:space="preserve">(2) </w:t>
      </w:r>
      <w:r w:rsidR="00563D62">
        <w:rPr>
          <w:rFonts w:ascii="Calibri" w:hAnsi="Calibri" w:cs="Calibri"/>
          <w:iCs/>
        </w:rPr>
        <w:t xml:space="preserve">the circumstances </w:t>
      </w:r>
      <w:r w:rsidR="00F014EE">
        <w:rPr>
          <w:rFonts w:ascii="Calibri" w:hAnsi="Calibri" w:cs="Calibri"/>
          <w:iCs/>
        </w:rPr>
        <w:t>when</w:t>
      </w:r>
      <w:r w:rsidR="00563D62">
        <w:rPr>
          <w:rFonts w:ascii="Calibri" w:hAnsi="Calibri" w:cs="Calibri"/>
          <w:iCs/>
        </w:rPr>
        <w:t xml:space="preserve"> tax-advantages are available </w:t>
      </w:r>
      <w:r w:rsidR="00F014EE">
        <w:rPr>
          <w:rFonts w:ascii="Calibri" w:hAnsi="Calibri" w:cs="Calibri"/>
          <w:iCs/>
        </w:rPr>
        <w:t xml:space="preserve">under </w:t>
      </w:r>
      <w:r w:rsidR="00F014EE" w:rsidRPr="004051D8">
        <w:rPr>
          <w:rFonts w:ascii="Calibri" w:hAnsi="Calibri" w:cs="Calibri"/>
          <w:iCs/>
          <w:color w:val="FF0000"/>
        </w:rPr>
        <w:t>CSOP (an all or nothing regime applies)</w:t>
      </w:r>
      <w:r w:rsidR="00563D62" w:rsidRPr="004051D8">
        <w:rPr>
          <w:rFonts w:ascii="Calibri" w:hAnsi="Calibri" w:cs="Calibri"/>
          <w:iCs/>
          <w:color w:val="FF0000"/>
        </w:rPr>
        <w:t xml:space="preserve">. </w:t>
      </w:r>
    </w:p>
    <w:p w14:paraId="37EB6A18" w14:textId="066CD78A" w:rsidR="00563D62" w:rsidRPr="004051D8" w:rsidRDefault="00AA5DE1" w:rsidP="00563D62">
      <w:pPr>
        <w:jc w:val="both"/>
        <w:rPr>
          <w:rFonts w:ascii="Calibri" w:hAnsi="Calibri" w:cs="Calibri"/>
          <w:iCs/>
          <w:color w:val="FF0000"/>
        </w:rPr>
      </w:pPr>
      <w:r>
        <w:rPr>
          <w:rFonts w:ascii="Calibri" w:hAnsi="Calibri" w:cs="Calibri"/>
          <w:iCs/>
        </w:rPr>
        <w:t xml:space="preserve">Larger companies </w:t>
      </w:r>
      <w:r w:rsidR="00F014EE">
        <w:rPr>
          <w:rFonts w:ascii="Calibri" w:hAnsi="Calibri" w:cs="Calibri"/>
          <w:iCs/>
        </w:rPr>
        <w:t>could</w:t>
      </w:r>
      <w:r>
        <w:rPr>
          <w:rFonts w:ascii="Calibri" w:hAnsi="Calibri" w:cs="Calibri"/>
          <w:iCs/>
        </w:rPr>
        <w:t xml:space="preserve"> compensate by offering SIP and SAYE participation but mid-size companies are disadvantaged </w:t>
      </w:r>
      <w:r w:rsidR="00F014EE">
        <w:rPr>
          <w:rFonts w:ascii="Calibri" w:hAnsi="Calibri" w:cs="Calibri"/>
          <w:iCs/>
        </w:rPr>
        <w:t>due to</w:t>
      </w:r>
      <w:r>
        <w:rPr>
          <w:rFonts w:ascii="Calibri" w:hAnsi="Calibri" w:cs="Calibri"/>
          <w:iCs/>
        </w:rPr>
        <w:t xml:space="preserve"> the additional costs</w:t>
      </w:r>
      <w:r w:rsidR="00613165">
        <w:rPr>
          <w:rFonts w:ascii="Calibri" w:hAnsi="Calibri" w:cs="Calibri"/>
          <w:iCs/>
        </w:rPr>
        <w:t xml:space="preserve">. </w:t>
      </w:r>
      <w:r w:rsidR="00613165" w:rsidRPr="004051D8">
        <w:rPr>
          <w:rFonts w:ascii="Calibri" w:hAnsi="Calibri" w:cs="Calibri"/>
          <w:iCs/>
          <w:color w:val="FF0000"/>
        </w:rPr>
        <w:t>The cliff between plans expands and prejudices employees of growth companies curtailing opportunities to expand and to attract and retain talented employees</w:t>
      </w:r>
      <w:r w:rsidR="00563D62" w:rsidRPr="004051D8">
        <w:rPr>
          <w:rFonts w:ascii="Calibri" w:hAnsi="Calibri" w:cs="Calibri"/>
          <w:iCs/>
          <w:color w:val="FF0000"/>
        </w:rPr>
        <w:t xml:space="preserve">.  </w:t>
      </w:r>
    </w:p>
    <w:p w14:paraId="61D4B332" w14:textId="2076F6D3" w:rsidR="00563D62" w:rsidRDefault="00905787" w:rsidP="00C4032A">
      <w:pPr>
        <w:jc w:val="both"/>
        <w:rPr>
          <w:rFonts w:ascii="Calibri" w:hAnsi="Calibri" w:cs="Calibri"/>
          <w:iCs/>
        </w:rPr>
      </w:pPr>
      <w:r>
        <w:rPr>
          <w:rFonts w:ascii="Calibri" w:hAnsi="Calibri" w:cs="Calibri"/>
          <w:iCs/>
        </w:rPr>
        <w:t>S</w:t>
      </w:r>
      <w:r w:rsidR="00563D62">
        <w:rPr>
          <w:rFonts w:ascii="Calibri" w:hAnsi="Calibri" w:cs="Calibri"/>
          <w:iCs/>
        </w:rPr>
        <w:t xml:space="preserve">ome relatively small changes to the CSOP legislation would </w:t>
      </w:r>
      <w:r w:rsidRPr="004051D8">
        <w:rPr>
          <w:rFonts w:ascii="Calibri" w:hAnsi="Calibri" w:cs="Calibri"/>
          <w:iCs/>
          <w:color w:val="FF0000"/>
        </w:rPr>
        <w:t>narrow the cliff and while there could be some loss of tax and NI, it</w:t>
      </w:r>
      <w:r w:rsidR="00563D62" w:rsidRPr="004051D8">
        <w:rPr>
          <w:rFonts w:ascii="Calibri" w:hAnsi="Calibri" w:cs="Calibri"/>
          <w:iCs/>
          <w:color w:val="FF0000"/>
        </w:rPr>
        <w:t xml:space="preserve"> </w:t>
      </w:r>
      <w:r w:rsidRPr="004051D8">
        <w:rPr>
          <w:rFonts w:ascii="Calibri" w:hAnsi="Calibri" w:cs="Calibri"/>
          <w:iCs/>
          <w:color w:val="FF0000"/>
        </w:rPr>
        <w:t>could create some small additional revenue and deter avoidance arrangements</w:t>
      </w:r>
      <w:r w:rsidR="00563D62" w:rsidRPr="004051D8">
        <w:rPr>
          <w:rFonts w:ascii="Calibri" w:hAnsi="Calibri" w:cs="Calibri"/>
          <w:iCs/>
          <w:color w:val="FF0000"/>
        </w:rPr>
        <w:t xml:space="preserve">. </w:t>
      </w:r>
    </w:p>
    <w:p w14:paraId="19AF1B68" w14:textId="77777777" w:rsidR="007F3505" w:rsidRDefault="007F3505" w:rsidP="007F3505">
      <w:pPr>
        <w:jc w:val="both"/>
        <w:rPr>
          <w:rFonts w:ascii="Calibri" w:hAnsi="Calibri" w:cs="Calibri"/>
          <w:iCs/>
        </w:rPr>
      </w:pPr>
      <w:r w:rsidRPr="0017479E">
        <w:rPr>
          <w:rFonts w:ascii="Calibri" w:hAnsi="Calibri" w:cs="Calibri"/>
          <w:iCs/>
        </w:rPr>
        <w:t>Specifically, these would be to:</w:t>
      </w:r>
    </w:p>
    <w:p w14:paraId="6DBB30E8" w14:textId="3F000A4F" w:rsidR="007F3505" w:rsidRPr="006078F9" w:rsidRDefault="007F3505" w:rsidP="007F3505">
      <w:pPr>
        <w:pStyle w:val="ListParagraph"/>
        <w:numPr>
          <w:ilvl w:val="0"/>
          <w:numId w:val="7"/>
        </w:numPr>
        <w:ind w:left="284" w:hanging="284"/>
        <w:contextualSpacing w:val="0"/>
        <w:jc w:val="both"/>
        <w:rPr>
          <w:rFonts w:ascii="Calibri" w:hAnsi="Calibri" w:cs="Calibri"/>
        </w:rPr>
      </w:pPr>
      <w:r w:rsidRPr="00CC7D84">
        <w:rPr>
          <w:rFonts w:ascii="Calibri" w:hAnsi="Calibri" w:cs="Arial"/>
          <w:b/>
          <w:iCs/>
          <w:shd w:val="clear" w:color="auto" w:fill="FFFFFF"/>
        </w:rPr>
        <w:t>Allow the exercise price to be at a discount or at nil</w:t>
      </w:r>
      <w:r>
        <w:rPr>
          <w:rFonts w:ascii="Calibri" w:hAnsi="Calibri" w:cs="Arial"/>
          <w:b/>
          <w:iCs/>
          <w:shd w:val="clear" w:color="auto" w:fill="FFFFFF"/>
        </w:rPr>
        <w:t>-</w:t>
      </w:r>
      <w:r w:rsidRPr="00CC7D84">
        <w:rPr>
          <w:rFonts w:ascii="Calibri" w:hAnsi="Calibri" w:cs="Arial"/>
          <w:b/>
          <w:iCs/>
          <w:shd w:val="clear" w:color="auto" w:fill="FFFFFF"/>
        </w:rPr>
        <w:t>cost (while keeping the income tax relief only for any increase over the market value at grant).</w:t>
      </w:r>
      <w:r>
        <w:rPr>
          <w:rFonts w:ascii="Calibri" w:hAnsi="Calibri" w:cs="Arial"/>
          <w:b/>
          <w:iCs/>
          <w:shd w:val="clear" w:color="auto" w:fill="FFFFFF"/>
        </w:rPr>
        <w:t xml:space="preserve"> </w:t>
      </w:r>
      <w:r w:rsidR="00106C74" w:rsidRPr="004051D8">
        <w:rPr>
          <w:rFonts w:ascii="Calibri" w:hAnsi="Calibri" w:cs="Arial"/>
          <w:iCs/>
          <w:color w:val="FF0000"/>
          <w:shd w:val="clear" w:color="auto" w:fill="FFFFFF"/>
        </w:rPr>
        <w:t>This would create a partial but manageable liability to income tax and NIC in</w:t>
      </w:r>
      <w:r>
        <w:rPr>
          <w:rFonts w:ascii="Calibri" w:hAnsi="Calibri" w:cs="Arial"/>
          <w:iCs/>
          <w:shd w:val="clear" w:color="auto" w:fill="FFFFFF"/>
        </w:rPr>
        <w:t xml:space="preserve"> line with the more flexible EMI regime. The change would benefit SMEs, and in particular those which previously qualified for EMI. Introducing the ability to grant at a discount under CSOP would mean that CSOP would become a meaningful alternative for companies which cease to qualify for EMI. </w:t>
      </w:r>
    </w:p>
    <w:p w14:paraId="4150231A" w14:textId="2223D956" w:rsidR="007F3505" w:rsidRDefault="00041C64" w:rsidP="007F3505">
      <w:pPr>
        <w:pStyle w:val="ListParagraph"/>
        <w:ind w:left="284"/>
        <w:contextualSpacing w:val="0"/>
        <w:jc w:val="both"/>
        <w:rPr>
          <w:rFonts w:ascii="Calibri" w:hAnsi="Calibri" w:cs="Calibri"/>
        </w:rPr>
      </w:pPr>
      <w:r>
        <w:rPr>
          <w:rFonts w:ascii="Calibri" w:hAnsi="Calibri" w:cs="Calibri"/>
        </w:rPr>
        <w:t>S</w:t>
      </w:r>
      <w:r w:rsidR="007F3505" w:rsidRPr="00743CA9">
        <w:rPr>
          <w:rFonts w:ascii="Calibri" w:hAnsi="Calibri" w:cs="Calibri"/>
        </w:rPr>
        <w:t xml:space="preserve">maller listed companies </w:t>
      </w:r>
      <w:r w:rsidRPr="004051D8">
        <w:rPr>
          <w:rFonts w:ascii="Calibri" w:hAnsi="Calibri" w:cs="Calibri"/>
          <w:color w:val="FF0000"/>
        </w:rPr>
        <w:t>preferring</w:t>
      </w:r>
      <w:r w:rsidR="007F3505" w:rsidRPr="004051D8">
        <w:rPr>
          <w:rFonts w:ascii="Calibri" w:hAnsi="Calibri" w:cs="Calibri"/>
          <w:color w:val="FF0000"/>
        </w:rPr>
        <w:t xml:space="preserve"> </w:t>
      </w:r>
      <w:r w:rsidR="007F3505" w:rsidRPr="00743CA9">
        <w:rPr>
          <w:rFonts w:ascii="Calibri" w:hAnsi="Calibri" w:cs="Calibri"/>
        </w:rPr>
        <w:t xml:space="preserve">to grant Long-Term Incentive Plan (LTIP) awards over the full value of shares, </w:t>
      </w:r>
      <w:r w:rsidRPr="004051D8">
        <w:rPr>
          <w:rFonts w:ascii="Calibri" w:hAnsi="Calibri" w:cs="Calibri"/>
          <w:color w:val="FF0000"/>
        </w:rPr>
        <w:t>perhaps to meet shareholder or best practice demands, would be able to use a CSOP</w:t>
      </w:r>
      <w:r w:rsidR="007F3505" w:rsidRPr="00743CA9">
        <w:rPr>
          <w:rFonts w:ascii="Calibri" w:hAnsi="Calibri" w:cs="Calibri"/>
        </w:rPr>
        <w:t xml:space="preserve">. One of the main reasons for this is that LTIPs use fewer shares to provide the same reward. This helps smaller </w:t>
      </w:r>
      <w:r w:rsidR="007F3505">
        <w:rPr>
          <w:rFonts w:ascii="Calibri" w:hAnsi="Calibri" w:cs="Calibri"/>
        </w:rPr>
        <w:t xml:space="preserve">listed </w:t>
      </w:r>
      <w:r w:rsidR="007F3505" w:rsidRPr="00743CA9">
        <w:rPr>
          <w:rFonts w:ascii="Calibri" w:hAnsi="Calibri" w:cs="Calibri"/>
        </w:rPr>
        <w:t xml:space="preserve">companies </w:t>
      </w:r>
      <w:r w:rsidRPr="004051D8">
        <w:rPr>
          <w:rFonts w:ascii="Calibri" w:hAnsi="Calibri" w:cs="Calibri"/>
          <w:color w:val="FF0000"/>
        </w:rPr>
        <w:t>whose shares have</w:t>
      </w:r>
      <w:r w:rsidR="007F3505" w:rsidRPr="004051D8">
        <w:rPr>
          <w:rFonts w:ascii="Calibri" w:hAnsi="Calibri" w:cs="Calibri"/>
          <w:color w:val="FF0000"/>
        </w:rPr>
        <w:t xml:space="preserve"> lower liquidity </w:t>
      </w:r>
      <w:r w:rsidRPr="004051D8">
        <w:rPr>
          <w:rFonts w:ascii="Calibri" w:hAnsi="Calibri" w:cs="Calibri"/>
          <w:color w:val="FF0000"/>
        </w:rPr>
        <w:t>and maintains the attractiveness of smaller companies being listed on AIM, NEX Exchange or the full list</w:t>
      </w:r>
      <w:r w:rsidR="007F3505" w:rsidRPr="00743CA9">
        <w:rPr>
          <w:rFonts w:ascii="Calibri" w:hAnsi="Calibri" w:cs="Calibri"/>
        </w:rPr>
        <w:t>.</w:t>
      </w:r>
      <w:r w:rsidR="007F3505">
        <w:rPr>
          <w:rFonts w:ascii="Calibri" w:hAnsi="Calibri" w:cs="Calibri"/>
        </w:rPr>
        <w:t xml:space="preserve">  It would be hugely beneficial from a corporate point of view if CSOPs could be structured in the same way as LTIPs.  </w:t>
      </w:r>
    </w:p>
    <w:p w14:paraId="3A5F68CC" w14:textId="4E2265DD" w:rsidR="007F3505" w:rsidRPr="00743CA9" w:rsidRDefault="00041C64" w:rsidP="007F3505">
      <w:pPr>
        <w:pStyle w:val="ListParagraph"/>
        <w:ind w:left="284"/>
        <w:contextualSpacing w:val="0"/>
        <w:jc w:val="both"/>
        <w:rPr>
          <w:rFonts w:ascii="Calibri" w:hAnsi="Calibri" w:cs="Calibri"/>
        </w:rPr>
      </w:pPr>
      <w:r>
        <w:rPr>
          <w:rFonts w:ascii="Calibri" w:hAnsi="Calibri" w:cs="Arial"/>
          <w:iCs/>
          <w:shd w:val="clear" w:color="auto" w:fill="FFFFFF"/>
        </w:rPr>
        <w:t>S</w:t>
      </w:r>
      <w:r w:rsidR="007F3505">
        <w:rPr>
          <w:rFonts w:ascii="Calibri" w:hAnsi="Calibri" w:cs="Arial"/>
          <w:iCs/>
          <w:shd w:val="clear" w:color="auto" w:fill="FFFFFF"/>
        </w:rPr>
        <w:t xml:space="preserve">uch a change </w:t>
      </w:r>
      <w:r>
        <w:rPr>
          <w:rFonts w:ascii="Calibri" w:hAnsi="Calibri" w:cs="Arial"/>
          <w:iCs/>
          <w:shd w:val="clear" w:color="auto" w:fill="FFFFFF"/>
        </w:rPr>
        <w:t xml:space="preserve">need </w:t>
      </w:r>
      <w:r w:rsidR="007F3505" w:rsidRPr="00522214">
        <w:rPr>
          <w:rFonts w:ascii="Calibri" w:hAnsi="Calibri" w:cs="Arial"/>
          <w:b/>
          <w:iCs/>
          <w:shd w:val="clear" w:color="auto" w:fill="FFFFFF"/>
        </w:rPr>
        <w:t xml:space="preserve">not </w:t>
      </w:r>
      <w:r w:rsidR="007F3505">
        <w:rPr>
          <w:rFonts w:ascii="Calibri" w:hAnsi="Calibri" w:cs="Arial"/>
          <w:iCs/>
          <w:shd w:val="clear" w:color="auto" w:fill="FFFFFF"/>
        </w:rPr>
        <w:t>mean any additional costs to HM Treasury</w:t>
      </w:r>
      <w:r>
        <w:rPr>
          <w:rFonts w:ascii="Calibri" w:hAnsi="Calibri" w:cs="Arial"/>
          <w:iCs/>
          <w:shd w:val="clear" w:color="auto" w:fill="FFFFFF"/>
        </w:rPr>
        <w:t xml:space="preserve"> if it </w:t>
      </w:r>
      <w:r w:rsidR="007F3505">
        <w:rPr>
          <w:rFonts w:ascii="Calibri" w:hAnsi="Calibri" w:cs="Arial"/>
          <w:iCs/>
          <w:shd w:val="clear" w:color="auto" w:fill="FFFFFF"/>
        </w:rPr>
        <w:t>generate</w:t>
      </w:r>
      <w:r>
        <w:rPr>
          <w:rFonts w:ascii="Calibri" w:hAnsi="Calibri" w:cs="Arial"/>
          <w:iCs/>
          <w:shd w:val="clear" w:color="auto" w:fill="FFFFFF"/>
        </w:rPr>
        <w:t xml:space="preserve">s </w:t>
      </w:r>
      <w:r w:rsidR="007F3505">
        <w:rPr>
          <w:rFonts w:ascii="Calibri" w:hAnsi="Calibri" w:cs="Arial"/>
          <w:iCs/>
          <w:shd w:val="clear" w:color="auto" w:fill="FFFFFF"/>
        </w:rPr>
        <w:t>revenue from the additional income tax and national insurance levied on the discount.</w:t>
      </w:r>
    </w:p>
    <w:p w14:paraId="79443778" w14:textId="2B738AA6" w:rsidR="007F3505" w:rsidRPr="00936207" w:rsidRDefault="007F3505" w:rsidP="007F3505">
      <w:pPr>
        <w:pStyle w:val="ListParagraph"/>
        <w:numPr>
          <w:ilvl w:val="0"/>
          <w:numId w:val="7"/>
        </w:numPr>
        <w:ind w:left="284" w:hanging="284"/>
        <w:contextualSpacing w:val="0"/>
        <w:jc w:val="both"/>
        <w:rPr>
          <w:rFonts w:ascii="Calibri" w:hAnsi="Calibri" w:cs="Calibri"/>
          <w:color w:val="FF0000"/>
        </w:rPr>
      </w:pPr>
      <w:r w:rsidRPr="00936207">
        <w:rPr>
          <w:rFonts w:ascii="Calibri" w:hAnsi="Calibri" w:cs="Arial"/>
          <w:b/>
          <w:iCs/>
          <w:shd w:val="clear" w:color="auto" w:fill="FFFFFF"/>
        </w:rPr>
        <w:t>Remove the three year holding period before which options can be exercised with income tax relief.</w:t>
      </w:r>
      <w:r w:rsidRPr="00936207">
        <w:rPr>
          <w:rFonts w:ascii="Calibri" w:hAnsi="Calibri" w:cs="Arial"/>
          <w:iCs/>
          <w:shd w:val="clear" w:color="auto" w:fill="FFFFFF"/>
        </w:rPr>
        <w:t xml:space="preserve">  Under EMI, qualifying companies are free to design their plans to reflect their commercial objectives (so that the options may be exit-only or alternatively vest over time and/or subject to performance conditions). The removal of the three year holding period for CSOP would more closely align the two discretionary tax-advantaged plans, giving SMEs greater freedom to design their plans in a way which </w:t>
      </w:r>
      <w:r w:rsidRPr="00936207">
        <w:rPr>
          <w:rFonts w:ascii="Calibri" w:hAnsi="Calibri" w:cs="Arial"/>
          <w:iCs/>
          <w:shd w:val="clear" w:color="auto" w:fill="FFFFFF"/>
        </w:rPr>
        <w:lastRenderedPageBreak/>
        <w:t>reflects their commercial objectives and incentivises their employees.</w:t>
      </w:r>
      <w:r w:rsidR="006026FA" w:rsidRPr="00936207">
        <w:rPr>
          <w:rFonts w:ascii="Calibri" w:hAnsi="Calibri" w:cs="Arial"/>
          <w:iCs/>
          <w:shd w:val="clear" w:color="auto" w:fill="FFFFFF"/>
        </w:rPr>
        <w:t xml:space="preserve"> </w:t>
      </w:r>
      <w:r w:rsidR="006026FA" w:rsidRPr="00936207">
        <w:rPr>
          <w:rFonts w:ascii="Calibri" w:hAnsi="Calibri" w:cs="Arial"/>
          <w:iCs/>
          <w:color w:val="FF0000"/>
          <w:shd w:val="clear" w:color="auto" w:fill="FFFFFF"/>
        </w:rPr>
        <w:t xml:space="preserve">It is also worth noting that employees categorised as Millennials and Generation X have a shorter term view and could be deterred from saving/investing by longer periods. </w:t>
      </w:r>
    </w:p>
    <w:p w14:paraId="4910DCDF" w14:textId="3C982279" w:rsidR="007F3505" w:rsidRPr="006078F9" w:rsidRDefault="007F3505" w:rsidP="007F3505">
      <w:pPr>
        <w:pStyle w:val="ListParagraph"/>
        <w:ind w:left="284"/>
        <w:contextualSpacing w:val="0"/>
        <w:jc w:val="both"/>
        <w:rPr>
          <w:rFonts w:ascii="Calibri" w:hAnsi="Calibri" w:cs="Calibri"/>
        </w:rPr>
      </w:pPr>
      <w:r>
        <w:rPr>
          <w:rFonts w:ascii="Calibri" w:hAnsi="Calibri" w:cs="Arial"/>
          <w:iCs/>
          <w:shd w:val="clear" w:color="auto" w:fill="FFFFFF"/>
        </w:rPr>
        <w:t>In practice, many SMEs would opt for a</w:t>
      </w:r>
      <w:r w:rsidR="00BC53F8">
        <w:rPr>
          <w:rFonts w:ascii="Calibri" w:hAnsi="Calibri" w:cs="Arial"/>
          <w:iCs/>
          <w:shd w:val="clear" w:color="auto" w:fill="FFFFFF"/>
        </w:rPr>
        <w:t>t least a</w:t>
      </w:r>
      <w:r>
        <w:rPr>
          <w:rFonts w:ascii="Calibri" w:hAnsi="Calibri" w:cs="Arial"/>
          <w:iCs/>
          <w:shd w:val="clear" w:color="auto" w:fill="FFFFFF"/>
        </w:rPr>
        <w:t xml:space="preserve"> three year holding period to comply with good practice principles and to encourage staff retention. This would mean the additional loss of revenue to the Exchequer would be relatively low, </w:t>
      </w:r>
      <w:r w:rsidR="00BC53F8">
        <w:rPr>
          <w:rFonts w:ascii="Calibri" w:hAnsi="Calibri" w:cs="Arial"/>
          <w:iCs/>
          <w:shd w:val="clear" w:color="auto" w:fill="FFFFFF"/>
        </w:rPr>
        <w:t xml:space="preserve">but </w:t>
      </w:r>
      <w:r w:rsidR="00BC53F8" w:rsidRPr="004051D8">
        <w:rPr>
          <w:rFonts w:ascii="Calibri" w:hAnsi="Calibri" w:cs="Arial"/>
          <w:iCs/>
          <w:color w:val="FF0000"/>
          <w:shd w:val="clear" w:color="auto" w:fill="FFFFFF"/>
        </w:rPr>
        <w:t>creates cost reductions by virtue of</w:t>
      </w:r>
      <w:r>
        <w:rPr>
          <w:rFonts w:ascii="Calibri" w:hAnsi="Calibri" w:cs="Arial"/>
          <w:iCs/>
          <w:shd w:val="clear" w:color="auto" w:fill="FFFFFF"/>
        </w:rPr>
        <w:t xml:space="preserve"> </w:t>
      </w:r>
      <w:r w:rsidRPr="004051D8">
        <w:rPr>
          <w:rFonts w:ascii="Calibri" w:hAnsi="Calibri" w:cs="Arial"/>
          <w:iCs/>
          <w:color w:val="FF0000"/>
          <w:shd w:val="clear" w:color="auto" w:fill="FFFFFF"/>
        </w:rPr>
        <w:t xml:space="preserve">the simplification </w:t>
      </w:r>
      <w:r w:rsidR="00BC53F8" w:rsidRPr="004051D8">
        <w:rPr>
          <w:rFonts w:ascii="Calibri" w:hAnsi="Calibri" w:cs="Arial"/>
          <w:iCs/>
          <w:color w:val="FF0000"/>
          <w:shd w:val="clear" w:color="auto" w:fill="FFFFFF"/>
        </w:rPr>
        <w:t>for both the company</w:t>
      </w:r>
      <w:r w:rsidR="00BC53F8">
        <w:rPr>
          <w:rFonts w:ascii="Calibri" w:hAnsi="Calibri" w:cs="Arial"/>
          <w:iCs/>
          <w:shd w:val="clear" w:color="auto" w:fill="FFFFFF"/>
        </w:rPr>
        <w:t xml:space="preserve"> </w:t>
      </w:r>
      <w:r>
        <w:rPr>
          <w:rFonts w:ascii="Calibri" w:hAnsi="Calibri" w:cs="Arial"/>
          <w:iCs/>
          <w:shd w:val="clear" w:color="auto" w:fill="FFFFFF"/>
        </w:rPr>
        <w:t>and HMRC in terms of its monitoring</w:t>
      </w:r>
      <w:r w:rsidR="00BC53F8">
        <w:rPr>
          <w:rFonts w:ascii="Calibri" w:hAnsi="Calibri" w:cs="Arial"/>
          <w:iCs/>
          <w:shd w:val="clear" w:color="auto" w:fill="FFFFFF"/>
        </w:rPr>
        <w:t>/</w:t>
      </w:r>
      <w:r w:rsidR="00BC53F8" w:rsidRPr="004051D8">
        <w:rPr>
          <w:rFonts w:ascii="Calibri" w:hAnsi="Calibri" w:cs="Arial"/>
          <w:iCs/>
          <w:color w:val="FF0000"/>
          <w:shd w:val="clear" w:color="auto" w:fill="FFFFFF"/>
        </w:rPr>
        <w:t>reporting</w:t>
      </w:r>
      <w:r w:rsidRPr="004051D8">
        <w:rPr>
          <w:rFonts w:ascii="Calibri" w:hAnsi="Calibri" w:cs="Arial"/>
          <w:iCs/>
          <w:color w:val="FF0000"/>
          <w:shd w:val="clear" w:color="auto" w:fill="FFFFFF"/>
        </w:rPr>
        <w:t xml:space="preserve"> </w:t>
      </w:r>
      <w:r>
        <w:rPr>
          <w:rFonts w:ascii="Calibri" w:hAnsi="Calibri" w:cs="Arial"/>
          <w:iCs/>
          <w:shd w:val="clear" w:color="auto" w:fill="FFFFFF"/>
        </w:rPr>
        <w:t>costs.</w:t>
      </w:r>
    </w:p>
    <w:p w14:paraId="26F62E9B" w14:textId="3DBF8C05" w:rsidR="007F3505" w:rsidRPr="00743CA9" w:rsidRDefault="007F3505" w:rsidP="007F3505">
      <w:pPr>
        <w:pStyle w:val="ListParagraph"/>
        <w:numPr>
          <w:ilvl w:val="0"/>
          <w:numId w:val="7"/>
        </w:numPr>
        <w:ind w:left="284" w:hanging="284"/>
        <w:contextualSpacing w:val="0"/>
        <w:jc w:val="both"/>
        <w:rPr>
          <w:rFonts w:ascii="Calibri" w:hAnsi="Calibri" w:cs="Calibri"/>
        </w:rPr>
      </w:pPr>
      <w:r>
        <w:rPr>
          <w:rFonts w:ascii="Calibri" w:hAnsi="Calibri" w:cs="Arial"/>
          <w:b/>
          <w:iCs/>
          <w:shd w:val="clear" w:color="auto" w:fill="FFFFFF"/>
        </w:rPr>
        <w:t>R</w:t>
      </w:r>
      <w:r w:rsidRPr="00CC7D84">
        <w:rPr>
          <w:rFonts w:ascii="Calibri" w:hAnsi="Calibri" w:cs="Arial"/>
          <w:b/>
          <w:iCs/>
          <w:shd w:val="clear" w:color="auto" w:fill="FFFFFF"/>
        </w:rPr>
        <w:t>emove all leaver and other early exercise requirements.</w:t>
      </w:r>
      <w:r>
        <w:rPr>
          <w:rFonts w:ascii="Calibri" w:hAnsi="Calibri" w:cs="Arial"/>
          <w:iCs/>
          <w:shd w:val="clear" w:color="auto" w:fill="FFFFFF"/>
        </w:rPr>
        <w:t xml:space="preserve"> The removal of the three year holding period </w:t>
      </w:r>
      <w:r w:rsidR="00803194" w:rsidRPr="004051D8">
        <w:rPr>
          <w:rFonts w:ascii="Calibri" w:hAnsi="Calibri" w:cs="Arial"/>
          <w:iCs/>
          <w:color w:val="FF0000"/>
          <w:shd w:val="clear" w:color="auto" w:fill="FFFFFF"/>
        </w:rPr>
        <w:t>delivers and additional simplification so</w:t>
      </w:r>
      <w:r w:rsidRPr="004051D8">
        <w:rPr>
          <w:rFonts w:ascii="Calibri" w:hAnsi="Calibri" w:cs="Arial"/>
          <w:iCs/>
          <w:color w:val="FF0000"/>
          <w:shd w:val="clear" w:color="auto" w:fill="FFFFFF"/>
        </w:rPr>
        <w:t xml:space="preserve"> </w:t>
      </w:r>
      <w:r>
        <w:rPr>
          <w:rFonts w:ascii="Calibri" w:hAnsi="Calibri" w:cs="Arial"/>
          <w:iCs/>
          <w:shd w:val="clear" w:color="auto" w:fill="FFFFFF"/>
        </w:rPr>
        <w:t xml:space="preserve">that the legislation could remove the </w:t>
      </w:r>
      <w:r w:rsidR="00803194" w:rsidRPr="004051D8">
        <w:rPr>
          <w:rFonts w:ascii="Calibri" w:hAnsi="Calibri" w:cs="Arial"/>
          <w:iCs/>
          <w:color w:val="FF0000"/>
          <w:shd w:val="clear" w:color="auto" w:fill="FFFFFF"/>
        </w:rPr>
        <w:t xml:space="preserve">complex </w:t>
      </w:r>
      <w:r>
        <w:rPr>
          <w:rFonts w:ascii="Calibri" w:hAnsi="Calibri" w:cs="Arial"/>
          <w:iCs/>
          <w:shd w:val="clear" w:color="auto" w:fill="FFFFFF"/>
        </w:rPr>
        <w:t>leaver and corporate event early exercise provisions</w:t>
      </w:r>
      <w:r w:rsidR="00803194">
        <w:rPr>
          <w:rFonts w:ascii="Calibri" w:hAnsi="Calibri" w:cs="Arial"/>
          <w:iCs/>
          <w:shd w:val="clear" w:color="auto" w:fill="FFFFFF"/>
        </w:rPr>
        <w:t>.</w:t>
      </w:r>
    </w:p>
    <w:p w14:paraId="4D66B0BF" w14:textId="77777777" w:rsidR="007F3505" w:rsidRPr="00743CA9" w:rsidRDefault="007F3505" w:rsidP="007F3505">
      <w:pPr>
        <w:pStyle w:val="ListParagraph"/>
        <w:numPr>
          <w:ilvl w:val="0"/>
          <w:numId w:val="7"/>
        </w:numPr>
        <w:ind w:left="284" w:hanging="284"/>
        <w:contextualSpacing w:val="0"/>
        <w:jc w:val="both"/>
        <w:rPr>
          <w:rFonts w:ascii="Calibri" w:hAnsi="Calibri" w:cs="Calibri"/>
        </w:rPr>
      </w:pPr>
      <w:r w:rsidRPr="00743CA9">
        <w:rPr>
          <w:rFonts w:ascii="Calibri" w:hAnsi="Calibri" w:cs="Arial"/>
          <w:b/>
          <w:iCs/>
          <w:shd w:val="clear" w:color="auto" w:fill="FFFFFF"/>
        </w:rPr>
        <w:t xml:space="preserve">Increase the £30,000 limit.  </w:t>
      </w:r>
      <w:r w:rsidRPr="00743CA9">
        <w:rPr>
          <w:rFonts w:ascii="Calibri" w:hAnsi="Calibri" w:cs="Calibri"/>
          <w:iCs/>
        </w:rPr>
        <w:t>We believe that the best way to encourage employee share ownership in smaller companies that do not qualify for EMI would be to further relax the requirements of the CSOP and introduce more flexibility, in a similar way to that recommended in the report of the Office of Tax Simplification (OTS) in its Review of Tax-Advantaged Share Schemes, published in March 2012</w:t>
      </w:r>
      <w:r w:rsidRPr="00743CA9">
        <w:rPr>
          <w:rStyle w:val="FootnoteReference"/>
          <w:rFonts w:ascii="Calibri" w:hAnsi="Calibri" w:cs="Calibri"/>
          <w:iCs/>
        </w:rPr>
        <w:footnoteReference w:id="29"/>
      </w:r>
      <w:r w:rsidRPr="00743CA9">
        <w:rPr>
          <w:rFonts w:ascii="Calibri" w:hAnsi="Calibri" w:cs="Calibri"/>
          <w:iCs/>
        </w:rPr>
        <w:t>.</w:t>
      </w:r>
    </w:p>
    <w:p w14:paraId="77977151" w14:textId="77777777" w:rsidR="007F3505" w:rsidRPr="008626E7" w:rsidRDefault="007F3505" w:rsidP="007F3505">
      <w:pPr>
        <w:ind w:left="284"/>
        <w:jc w:val="both"/>
        <w:rPr>
          <w:rFonts w:ascii="Calibri" w:hAnsi="Calibri" w:cs="Calibri"/>
          <w:iCs/>
        </w:rPr>
      </w:pPr>
      <w:r w:rsidRPr="008626E7">
        <w:rPr>
          <w:rFonts w:ascii="Calibri" w:hAnsi="Calibri" w:cs="Calibri"/>
          <w:iCs/>
        </w:rPr>
        <w:t>The OTS report recommended (at para 2.57) that the existing £30,000 limit for all subsisting options be replaced with a ro</w:t>
      </w:r>
      <w:r>
        <w:rPr>
          <w:rFonts w:ascii="Calibri" w:hAnsi="Calibri" w:cs="Calibri"/>
          <w:iCs/>
        </w:rPr>
        <w:t xml:space="preserve">lling three year £30,000 limit. </w:t>
      </w:r>
      <w:r w:rsidRPr="008626E7">
        <w:rPr>
          <w:rFonts w:ascii="Calibri" w:hAnsi="Calibri" w:cs="Calibri"/>
          <w:iCs/>
        </w:rPr>
        <w:t xml:space="preserve">We </w:t>
      </w:r>
      <w:r>
        <w:rPr>
          <w:rFonts w:ascii="Calibri" w:hAnsi="Calibri" w:cs="Calibri"/>
          <w:iCs/>
        </w:rPr>
        <w:t>r</w:t>
      </w:r>
      <w:r w:rsidRPr="008626E7">
        <w:rPr>
          <w:rFonts w:ascii="Calibri" w:hAnsi="Calibri" w:cs="Calibri"/>
          <w:iCs/>
        </w:rPr>
        <w:t>ecommend going further</w:t>
      </w:r>
      <w:r>
        <w:rPr>
          <w:rFonts w:ascii="Calibri" w:hAnsi="Calibri" w:cs="Calibri"/>
          <w:iCs/>
        </w:rPr>
        <w:t>;</w:t>
      </w:r>
      <w:r w:rsidRPr="008626E7">
        <w:rPr>
          <w:rFonts w:ascii="Calibri" w:hAnsi="Calibri" w:cs="Calibri"/>
          <w:iCs/>
        </w:rPr>
        <w:t xml:space="preserve"> the £30,000 limit should be reviewed and increased to enable CSOP to provide a meaningful incentive in today's modern workplaces.  </w:t>
      </w:r>
    </w:p>
    <w:p w14:paraId="07E319C7" w14:textId="00FE563A" w:rsidR="007F3505" w:rsidRPr="008626E7" w:rsidRDefault="00D32589" w:rsidP="007F3505">
      <w:pPr>
        <w:ind w:left="284"/>
        <w:jc w:val="both"/>
        <w:rPr>
          <w:rFonts w:ascii="Calibri" w:hAnsi="Calibri" w:cs="Calibri"/>
          <w:iCs/>
        </w:rPr>
      </w:pPr>
      <w:r>
        <w:rPr>
          <w:rFonts w:ascii="Calibri" w:hAnsi="Calibri" w:cs="Calibri"/>
          <w:iCs/>
        </w:rPr>
        <w:t>T</w:t>
      </w:r>
      <w:r w:rsidR="007F3505" w:rsidRPr="008626E7">
        <w:rPr>
          <w:rFonts w:ascii="Calibri" w:hAnsi="Calibri" w:cs="Calibri"/>
          <w:iCs/>
        </w:rPr>
        <w:t>he individual limit for CSOP has remained unchanged, at £30,000 per eligible employee, since 1996.</w:t>
      </w:r>
      <w:r w:rsidR="007F3505">
        <w:rPr>
          <w:rFonts w:ascii="Calibri" w:hAnsi="Calibri" w:cs="Calibri"/>
          <w:iCs/>
        </w:rPr>
        <w:t xml:space="preserve"> As </w:t>
      </w:r>
      <w:r w:rsidRPr="004051D8">
        <w:rPr>
          <w:rFonts w:ascii="Calibri" w:hAnsi="Calibri" w:cs="Calibri"/>
          <w:iCs/>
          <w:color w:val="FF0000"/>
        </w:rPr>
        <w:t>23</w:t>
      </w:r>
      <w:r w:rsidR="007F3505" w:rsidRPr="004051D8">
        <w:rPr>
          <w:rFonts w:ascii="Calibri" w:hAnsi="Calibri" w:cs="Calibri"/>
          <w:iCs/>
          <w:color w:val="FF0000"/>
        </w:rPr>
        <w:t xml:space="preserve"> </w:t>
      </w:r>
      <w:r w:rsidR="007F3505">
        <w:rPr>
          <w:rFonts w:ascii="Calibri" w:hAnsi="Calibri" w:cs="Calibri"/>
          <w:iCs/>
        </w:rPr>
        <w:t>years have elapsed (and noting that EMI, SAYE and SIP have all benefited from increases in limits in recent years), it would be appropriate to review the £30,000 limit.</w:t>
      </w:r>
    </w:p>
    <w:p w14:paraId="2E60A9C1" w14:textId="77777777" w:rsidR="007F3505" w:rsidRDefault="007F3505" w:rsidP="007F3505">
      <w:pPr>
        <w:ind w:left="284"/>
        <w:jc w:val="both"/>
        <w:rPr>
          <w:rFonts w:ascii="Calibri" w:hAnsi="Calibri" w:cs="Calibri"/>
          <w:iCs/>
        </w:rPr>
      </w:pPr>
      <w:r w:rsidRPr="008626E7">
        <w:rPr>
          <w:rFonts w:ascii="Calibri" w:hAnsi="Calibri" w:cs="Calibri"/>
          <w:iCs/>
        </w:rPr>
        <w:t xml:space="preserve">Given that the EMI individual limit is now set at £250,000 (with a maximum total value of shares which may be placed under option of £3 million), the difference between the two tax-advantaged discretionary arrangements as an effective incentive is significant for companies which do not or cease to qualify for EMI.  </w:t>
      </w:r>
    </w:p>
    <w:p w14:paraId="4D5D2F5F" w14:textId="77777777" w:rsidR="007F3505" w:rsidRPr="00213FC1" w:rsidRDefault="007F3505" w:rsidP="007F3505">
      <w:pPr>
        <w:ind w:left="284"/>
        <w:jc w:val="both"/>
        <w:rPr>
          <w:rFonts w:ascii="Calibri" w:hAnsi="Calibri" w:cs="Calibri"/>
          <w:b/>
          <w:iCs/>
        </w:rPr>
      </w:pPr>
      <w:r w:rsidRPr="00213FC1">
        <w:rPr>
          <w:rFonts w:ascii="Calibri" w:hAnsi="Calibri" w:cs="Calibri"/>
          <w:b/>
          <w:iCs/>
        </w:rPr>
        <w:t xml:space="preserve">We would suggest that the CSOP limit be increased to a figure between the current £30,000 limit and the EMI limit of £250,000 – we would suggest £50,000 –  and that consideration be given to an appropriate figure for the total aggregate value of unexercised CSOP options (assuming such a maximum is considered to be necessary).  </w:t>
      </w:r>
    </w:p>
    <w:p w14:paraId="0AEF3CB0" w14:textId="77777777" w:rsidR="007F3505" w:rsidRDefault="007F3505" w:rsidP="007F3505">
      <w:pPr>
        <w:ind w:left="284"/>
        <w:jc w:val="both"/>
        <w:rPr>
          <w:rFonts w:ascii="Calibri" w:hAnsi="Calibri" w:cs="Calibri"/>
          <w:iCs/>
        </w:rPr>
      </w:pPr>
      <w:r w:rsidRPr="008626E7">
        <w:rPr>
          <w:rFonts w:ascii="Calibri" w:hAnsi="Calibri" w:cs="Calibri"/>
          <w:iCs/>
        </w:rPr>
        <w:t xml:space="preserve">We appreciate that this would require careful analysis of the fiscal impact of </w:t>
      </w:r>
      <w:r>
        <w:rPr>
          <w:rFonts w:ascii="Calibri" w:hAnsi="Calibri" w:cs="Calibri"/>
          <w:iCs/>
        </w:rPr>
        <w:t xml:space="preserve">such changes, but believe that, </w:t>
      </w:r>
      <w:r w:rsidRPr="008626E7">
        <w:rPr>
          <w:rFonts w:ascii="Calibri" w:hAnsi="Calibri" w:cs="Calibri"/>
          <w:iCs/>
        </w:rPr>
        <w:t>if implemented</w:t>
      </w:r>
      <w:r>
        <w:rPr>
          <w:rFonts w:ascii="Calibri" w:hAnsi="Calibri" w:cs="Calibri"/>
          <w:iCs/>
        </w:rPr>
        <w:t>,</w:t>
      </w:r>
      <w:r w:rsidRPr="008626E7">
        <w:rPr>
          <w:rFonts w:ascii="Calibri" w:hAnsi="Calibri" w:cs="Calibri"/>
          <w:iCs/>
        </w:rPr>
        <w:t xml:space="preserve"> CSOP would become more attractive to qualifying small and mid-size</w:t>
      </w:r>
      <w:r>
        <w:rPr>
          <w:rFonts w:ascii="Calibri" w:hAnsi="Calibri" w:cs="Calibri"/>
          <w:iCs/>
        </w:rPr>
        <w:t xml:space="preserve"> quoted</w:t>
      </w:r>
      <w:r w:rsidRPr="008626E7">
        <w:rPr>
          <w:rFonts w:ascii="Calibri" w:hAnsi="Calibri" w:cs="Calibri"/>
          <w:iCs/>
        </w:rPr>
        <w:t xml:space="preserve"> companies as a means of incentivising their employees. </w:t>
      </w:r>
    </w:p>
    <w:p w14:paraId="3C402E54" w14:textId="77777777" w:rsidR="007F3505" w:rsidRDefault="007F3505" w:rsidP="007F3505">
      <w:pPr>
        <w:jc w:val="both"/>
        <w:rPr>
          <w:rFonts w:ascii="Calibri" w:hAnsi="Calibri" w:cs="Calibri"/>
          <w:iCs/>
        </w:rPr>
      </w:pPr>
      <w:r>
        <w:rPr>
          <w:rFonts w:ascii="Calibri" w:hAnsi="Calibri" w:cs="Calibri"/>
          <w:iCs/>
        </w:rPr>
        <w:t xml:space="preserve">Consequently, we believe that the </w:t>
      </w:r>
      <w:r w:rsidRPr="008626E7">
        <w:rPr>
          <w:rFonts w:ascii="Calibri" w:hAnsi="Calibri" w:cs="Calibri"/>
          <w:iCs/>
        </w:rPr>
        <w:t xml:space="preserve">additional cost to the </w:t>
      </w:r>
      <w:r>
        <w:rPr>
          <w:rFonts w:ascii="Calibri" w:hAnsi="Calibri" w:cs="Calibri"/>
          <w:iCs/>
        </w:rPr>
        <w:t>E</w:t>
      </w:r>
      <w:r w:rsidRPr="008626E7">
        <w:rPr>
          <w:rFonts w:ascii="Calibri" w:hAnsi="Calibri" w:cs="Calibri"/>
          <w:iCs/>
        </w:rPr>
        <w:t xml:space="preserve">xchequer of </w:t>
      </w:r>
      <w:r>
        <w:rPr>
          <w:rFonts w:ascii="Calibri" w:hAnsi="Calibri" w:cs="Calibri"/>
          <w:iCs/>
        </w:rPr>
        <w:t>all of the above</w:t>
      </w:r>
      <w:r w:rsidRPr="008626E7">
        <w:rPr>
          <w:rFonts w:ascii="Calibri" w:hAnsi="Calibri" w:cs="Calibri"/>
          <w:iCs/>
        </w:rPr>
        <w:t xml:space="preserve"> measures would be relatively low. However, the extra flexibility for design of CSOPs could substantially boost the levels of employee share participation </w:t>
      </w:r>
      <w:r>
        <w:rPr>
          <w:rFonts w:ascii="Calibri" w:hAnsi="Calibri" w:cs="Calibri"/>
          <w:iCs/>
        </w:rPr>
        <w:t xml:space="preserve">and therefore the Exchequer’s potential return through capital gains tax and stamp duty. This would </w:t>
      </w:r>
      <w:r w:rsidRPr="008626E7">
        <w:rPr>
          <w:rFonts w:ascii="Calibri" w:hAnsi="Calibri" w:cs="Calibri"/>
          <w:iCs/>
        </w:rPr>
        <w:t>provide incentives to promote growth, in particular in small and mid-size companies</w:t>
      </w:r>
      <w:r>
        <w:rPr>
          <w:rFonts w:ascii="Calibri" w:hAnsi="Calibri" w:cs="Calibri"/>
          <w:iCs/>
        </w:rPr>
        <w:t xml:space="preserve">.  </w:t>
      </w:r>
      <w:r w:rsidRPr="00110574">
        <w:rPr>
          <w:rFonts w:ascii="Calibri" w:hAnsi="Calibri" w:cs="Calibri"/>
          <w:iCs/>
        </w:rPr>
        <w:t>HMRC statistics show that the number of participants granted CSOP options has fallen from 415,000 in 2000-</w:t>
      </w:r>
      <w:r w:rsidRPr="00110574">
        <w:rPr>
          <w:rFonts w:ascii="Calibri" w:hAnsi="Calibri" w:cs="Calibri"/>
          <w:iCs/>
        </w:rPr>
        <w:lastRenderedPageBreak/>
        <w:t>2001 down to only 40,000 in 201</w:t>
      </w:r>
      <w:r>
        <w:rPr>
          <w:rFonts w:ascii="Calibri" w:hAnsi="Calibri" w:cs="Calibri"/>
          <w:iCs/>
        </w:rPr>
        <w:t>6</w:t>
      </w:r>
      <w:r w:rsidRPr="00110574">
        <w:rPr>
          <w:rFonts w:ascii="Calibri" w:hAnsi="Calibri" w:cs="Calibri"/>
          <w:iCs/>
        </w:rPr>
        <w:t>-201</w:t>
      </w:r>
      <w:r>
        <w:rPr>
          <w:rFonts w:ascii="Calibri" w:hAnsi="Calibri" w:cs="Calibri"/>
          <w:iCs/>
        </w:rPr>
        <w:t>7</w:t>
      </w:r>
      <w:r w:rsidRPr="00110574">
        <w:rPr>
          <w:rFonts w:ascii="Calibri" w:hAnsi="Calibri" w:cs="Calibri"/>
          <w:iCs/>
        </w:rPr>
        <w:t>.</w:t>
      </w:r>
      <w:r w:rsidRPr="00110574">
        <w:rPr>
          <w:rStyle w:val="FootnoteReference"/>
          <w:rFonts w:ascii="Calibri" w:hAnsi="Calibri" w:cs="Calibri"/>
          <w:iCs/>
        </w:rPr>
        <w:footnoteReference w:id="30"/>
      </w:r>
      <w:r w:rsidRPr="00110574">
        <w:rPr>
          <w:rFonts w:ascii="Calibri" w:hAnsi="Calibri" w:cs="Calibri"/>
          <w:iCs/>
        </w:rPr>
        <w:t xml:space="preserve"> This is largely due to the flexibility of the EMI schemes designed to encourage smaller companies to grow. </w:t>
      </w:r>
    </w:p>
    <w:p w14:paraId="053E2EAD" w14:textId="77777777" w:rsidR="007F3505" w:rsidRPr="00213FC1" w:rsidRDefault="007F3505" w:rsidP="007F3505">
      <w:pPr>
        <w:jc w:val="both"/>
        <w:rPr>
          <w:rFonts w:ascii="Calibri" w:hAnsi="Calibri" w:cs="Calibri"/>
          <w:b/>
          <w:i/>
          <w:iCs/>
        </w:rPr>
      </w:pPr>
      <w:r w:rsidRPr="008626E7">
        <w:rPr>
          <w:rFonts w:ascii="Calibri" w:hAnsi="Calibri" w:cs="Calibri"/>
          <w:iCs/>
        </w:rPr>
        <w:t>Although there have been some helpful relaxations introduced by Finance Acts</w:t>
      </w:r>
      <w:r>
        <w:rPr>
          <w:rFonts w:ascii="Calibri" w:hAnsi="Calibri" w:cs="Calibri"/>
          <w:iCs/>
        </w:rPr>
        <w:t xml:space="preserve"> in recent years</w:t>
      </w:r>
      <w:r w:rsidRPr="008626E7">
        <w:rPr>
          <w:rFonts w:ascii="Calibri" w:hAnsi="Calibri" w:cs="Calibri"/>
          <w:iCs/>
        </w:rPr>
        <w:t>, we believe that the CSOP legislation has not been sufficiently adapted to meet modern remuneration practice</w:t>
      </w:r>
      <w:r>
        <w:rPr>
          <w:rFonts w:ascii="Calibri" w:hAnsi="Calibri" w:cs="Calibri"/>
          <w:iCs/>
        </w:rPr>
        <w:t>s</w:t>
      </w:r>
      <w:r w:rsidRPr="008626E7">
        <w:rPr>
          <w:rFonts w:ascii="Calibri" w:hAnsi="Calibri" w:cs="Calibri"/>
          <w:iCs/>
        </w:rPr>
        <w:t>. </w:t>
      </w:r>
    </w:p>
    <w:p w14:paraId="6C05BB30" w14:textId="77777777" w:rsidR="00E612EF" w:rsidRDefault="00E612EF" w:rsidP="00233725">
      <w:pPr>
        <w:pBdr>
          <w:top w:val="single" w:sz="4" w:space="1" w:color="auto"/>
        </w:pBdr>
        <w:spacing w:after="0"/>
        <w:jc w:val="both"/>
        <w:rPr>
          <w:rFonts w:ascii="Calibri" w:hAnsi="Calibri" w:cs="Calibri"/>
          <w:iCs/>
        </w:rPr>
      </w:pPr>
    </w:p>
    <w:p w14:paraId="61CD6520" w14:textId="77777777" w:rsidR="005E4C25" w:rsidRPr="00F27B7A" w:rsidRDefault="005E4C25" w:rsidP="005E4C25">
      <w:pPr>
        <w:pStyle w:val="Heading2"/>
        <w:numPr>
          <w:ilvl w:val="0"/>
          <w:numId w:val="19"/>
        </w:numPr>
        <w:spacing w:before="0" w:after="200"/>
        <w:ind w:left="426" w:hanging="426"/>
        <w:jc w:val="both"/>
        <w:rPr>
          <w:rFonts w:ascii="Calibri" w:hAnsi="Calibri" w:cs="Arial"/>
          <w:color w:val="auto"/>
          <w:sz w:val="24"/>
          <w:lang w:val="en"/>
        </w:rPr>
      </w:pPr>
      <w:bookmarkStart w:id="7" w:name="_Toc19093855"/>
      <w:r w:rsidRPr="00F27B7A">
        <w:rPr>
          <w:rFonts w:ascii="Calibri" w:hAnsi="Calibri" w:cs="Arial"/>
          <w:color w:val="auto"/>
          <w:sz w:val="24"/>
          <w:lang w:val="en"/>
        </w:rPr>
        <w:t>Permitting non-executive directors taking shares as part of their remuneration to pay income tax only after the sale of the shares</w:t>
      </w:r>
      <w:bookmarkEnd w:id="7"/>
    </w:p>
    <w:p w14:paraId="1FAD7A22" w14:textId="613C466E" w:rsidR="005E4C25" w:rsidRPr="004051D8" w:rsidRDefault="005E4C25" w:rsidP="005E4C25">
      <w:pPr>
        <w:jc w:val="both"/>
        <w:rPr>
          <w:color w:val="FF0000"/>
          <w:lang w:val="en"/>
        </w:rPr>
      </w:pPr>
      <w:r>
        <w:rPr>
          <w:lang w:val="en"/>
        </w:rPr>
        <w:t xml:space="preserve">Non-executive directors </w:t>
      </w:r>
      <w:r w:rsidR="00D32589" w:rsidRPr="004051D8">
        <w:rPr>
          <w:color w:val="FF0000"/>
          <w:lang w:val="en"/>
        </w:rPr>
        <w:t>are an important part of corporate governance for listed companies. NEDs taking shares</w:t>
      </w:r>
      <w:r w:rsidR="00D32589">
        <w:rPr>
          <w:lang w:val="en"/>
        </w:rPr>
        <w:t xml:space="preserve"> </w:t>
      </w:r>
      <w:r>
        <w:rPr>
          <w:lang w:val="en"/>
        </w:rPr>
        <w:t>align their interest</w:t>
      </w:r>
      <w:r w:rsidR="00D32589">
        <w:rPr>
          <w:lang w:val="en"/>
        </w:rPr>
        <w:t>s</w:t>
      </w:r>
      <w:r>
        <w:rPr>
          <w:lang w:val="en"/>
        </w:rPr>
        <w:t xml:space="preserve"> with those of shareholders, and </w:t>
      </w:r>
      <w:r w:rsidR="00D32589" w:rsidRPr="004051D8">
        <w:rPr>
          <w:color w:val="FF0000"/>
          <w:lang w:val="en"/>
        </w:rPr>
        <w:t xml:space="preserve">often </w:t>
      </w:r>
      <w:r>
        <w:rPr>
          <w:lang w:val="en"/>
        </w:rPr>
        <w:t>agree to accept a portion of their remuneration in shares</w:t>
      </w:r>
      <w:r w:rsidR="00D32589">
        <w:rPr>
          <w:lang w:val="en"/>
        </w:rPr>
        <w:t>.</w:t>
      </w:r>
      <w:r>
        <w:rPr>
          <w:lang w:val="en"/>
        </w:rPr>
        <w:t xml:space="preserve"> </w:t>
      </w:r>
      <w:r w:rsidR="00D32589">
        <w:rPr>
          <w:lang w:val="en"/>
        </w:rPr>
        <w:t>I</w:t>
      </w:r>
      <w:r>
        <w:rPr>
          <w:lang w:val="en"/>
        </w:rPr>
        <w:t xml:space="preserve">ncome tax </w:t>
      </w:r>
      <w:r w:rsidR="00D32589" w:rsidRPr="004051D8">
        <w:rPr>
          <w:color w:val="FF0000"/>
          <w:lang w:val="en"/>
        </w:rPr>
        <w:t xml:space="preserve">plus national insurance (both employer and employees) arises </w:t>
      </w:r>
      <w:r>
        <w:rPr>
          <w:lang w:val="en"/>
        </w:rPr>
        <w:t xml:space="preserve">upon issue of the shares. </w:t>
      </w:r>
      <w:r w:rsidR="00D32589">
        <w:rPr>
          <w:lang w:val="en"/>
        </w:rPr>
        <w:t>T</w:t>
      </w:r>
      <w:r>
        <w:rPr>
          <w:lang w:val="en"/>
        </w:rPr>
        <w:t>his comes at a time when the non-executive director will not have the cash to pay the tax</w:t>
      </w:r>
      <w:r w:rsidR="00D32589">
        <w:rPr>
          <w:lang w:val="en"/>
        </w:rPr>
        <w:t xml:space="preserve"> </w:t>
      </w:r>
      <w:r w:rsidR="00D32589" w:rsidRPr="004051D8">
        <w:rPr>
          <w:color w:val="FF0000"/>
          <w:lang w:val="en"/>
        </w:rPr>
        <w:t>and may</w:t>
      </w:r>
      <w:r w:rsidR="00E902C7">
        <w:rPr>
          <w:color w:val="FF0000"/>
          <w:lang w:val="en"/>
        </w:rPr>
        <w:t>,</w:t>
      </w:r>
      <w:r w:rsidR="00D32589" w:rsidRPr="004051D8">
        <w:rPr>
          <w:color w:val="FF0000"/>
          <w:lang w:val="en"/>
        </w:rPr>
        <w:t xml:space="preserve"> therefore</w:t>
      </w:r>
      <w:r w:rsidR="00E902C7">
        <w:rPr>
          <w:color w:val="FF0000"/>
          <w:lang w:val="en"/>
        </w:rPr>
        <w:t>,</w:t>
      </w:r>
      <w:r w:rsidR="00D32589" w:rsidRPr="004051D8">
        <w:rPr>
          <w:color w:val="FF0000"/>
          <w:lang w:val="en"/>
        </w:rPr>
        <w:t xml:space="preserve"> deter many good potential NEDs, perhaps from minority groups, from undertaking roles in smaller growth companies. </w:t>
      </w:r>
    </w:p>
    <w:p w14:paraId="5D332757" w14:textId="77777777" w:rsidR="005E4C25" w:rsidRDefault="005E4C25" w:rsidP="005E4C25">
      <w:pPr>
        <w:jc w:val="both"/>
        <w:rPr>
          <w:lang w:val="en"/>
        </w:rPr>
      </w:pPr>
      <w:r w:rsidRPr="006708B7">
        <w:rPr>
          <w:b/>
          <w:lang w:val="en"/>
        </w:rPr>
        <w:t xml:space="preserve">To encourage non-executive directors to align their interests with shareholder interests, we propose that the government should allow non-executive directors to pay income tax only after the sale of the shares. </w:t>
      </w:r>
    </w:p>
    <w:p w14:paraId="0E792F44" w14:textId="77777777" w:rsidR="005E4C25" w:rsidRDefault="005E4C25" w:rsidP="005E4C25">
      <w:pPr>
        <w:jc w:val="both"/>
        <w:rPr>
          <w:lang w:val="en"/>
        </w:rPr>
      </w:pPr>
      <w:r>
        <w:rPr>
          <w:lang w:val="en"/>
        </w:rPr>
        <w:t>We believe that this will not only help attract a higher standard of non-executive director, but also cultivate a closer relationship between the company, shareholders and the non-executive director.</w:t>
      </w:r>
    </w:p>
    <w:p w14:paraId="1D8CEEFE" w14:textId="77777777" w:rsidR="00E612EF" w:rsidRPr="00117126" w:rsidRDefault="00E612EF" w:rsidP="00233725">
      <w:pPr>
        <w:pBdr>
          <w:top w:val="single" w:sz="4" w:space="1" w:color="auto"/>
        </w:pBdr>
        <w:spacing w:after="0"/>
        <w:jc w:val="both"/>
        <w:rPr>
          <w:lang w:val="en"/>
        </w:rPr>
      </w:pPr>
    </w:p>
    <w:p w14:paraId="23795476" w14:textId="0AE84608" w:rsidR="00EA7F69" w:rsidRDefault="00EA7F69" w:rsidP="00CA4F10">
      <w:pPr>
        <w:pBdr>
          <w:top w:val="single" w:sz="4" w:space="1" w:color="auto"/>
        </w:pBdr>
        <w:spacing w:after="0"/>
        <w:jc w:val="both"/>
        <w:rPr>
          <w:rFonts w:ascii="Calibri" w:hAnsi="Calibri" w:cs="Calibri"/>
        </w:rPr>
      </w:pPr>
    </w:p>
    <w:p w14:paraId="6D77A40C" w14:textId="77777777" w:rsidR="00D10877" w:rsidRPr="00835FD8" w:rsidRDefault="00D10877" w:rsidP="00455922">
      <w:pPr>
        <w:pStyle w:val="Heading2"/>
        <w:numPr>
          <w:ilvl w:val="0"/>
          <w:numId w:val="19"/>
        </w:numPr>
        <w:spacing w:before="0" w:after="200"/>
        <w:ind w:left="426" w:hanging="426"/>
        <w:jc w:val="both"/>
        <w:rPr>
          <w:rFonts w:ascii="Calibri" w:hAnsi="Calibri"/>
          <w:color w:val="auto"/>
          <w:sz w:val="24"/>
          <w:szCs w:val="22"/>
        </w:rPr>
      </w:pPr>
      <w:bookmarkStart w:id="8" w:name="_Toc19093856"/>
      <w:r w:rsidRPr="00835FD8">
        <w:rPr>
          <w:rFonts w:ascii="Calibri" w:hAnsi="Calibri"/>
          <w:color w:val="auto"/>
          <w:sz w:val="24"/>
          <w:szCs w:val="22"/>
        </w:rPr>
        <w:t>Exempting</w:t>
      </w:r>
      <w:r>
        <w:rPr>
          <w:rFonts w:ascii="Calibri" w:hAnsi="Calibri"/>
          <w:color w:val="auto"/>
          <w:sz w:val="24"/>
          <w:szCs w:val="22"/>
        </w:rPr>
        <w:t xml:space="preserve"> or zero-rating from VAT any</w:t>
      </w:r>
      <w:r w:rsidRPr="00835FD8">
        <w:rPr>
          <w:rFonts w:ascii="Calibri" w:hAnsi="Calibri"/>
          <w:color w:val="auto"/>
          <w:sz w:val="24"/>
          <w:szCs w:val="22"/>
        </w:rPr>
        <w:t xml:space="preserve"> investment research on small-cap companies</w:t>
      </w:r>
      <w:bookmarkEnd w:id="8"/>
    </w:p>
    <w:p w14:paraId="21DD4849" w14:textId="77777777" w:rsidR="00D10877" w:rsidRPr="00835FD8" w:rsidRDefault="00D10877" w:rsidP="00D10877">
      <w:pPr>
        <w:pStyle w:val="Default"/>
        <w:spacing w:after="200" w:line="276" w:lineRule="auto"/>
        <w:jc w:val="both"/>
        <w:rPr>
          <w:rFonts w:ascii="Calibri" w:hAnsi="Calibri"/>
          <w:color w:val="auto"/>
          <w:sz w:val="22"/>
          <w:szCs w:val="22"/>
        </w:rPr>
      </w:pPr>
      <w:r w:rsidRPr="00835FD8">
        <w:rPr>
          <w:rFonts w:ascii="Calibri" w:hAnsi="Calibri"/>
          <w:color w:val="auto"/>
          <w:sz w:val="22"/>
          <w:szCs w:val="22"/>
        </w:rPr>
        <w:t xml:space="preserve">Independent investment research on SMEs is essential in increasing their visibility and stimulating trading in their shares. This eases price discovery and enhances liquidity, which in turn reduces the cost of capital for companies and encouraging growth. </w:t>
      </w:r>
    </w:p>
    <w:p w14:paraId="412AEFF6" w14:textId="00D109D7" w:rsidR="00D10877" w:rsidRPr="00835FD8" w:rsidRDefault="00D10877" w:rsidP="00D10877">
      <w:pPr>
        <w:pStyle w:val="Default"/>
        <w:spacing w:after="200" w:line="276" w:lineRule="auto"/>
        <w:jc w:val="both"/>
        <w:rPr>
          <w:rFonts w:ascii="Calibri" w:hAnsi="Calibri"/>
          <w:color w:val="auto"/>
          <w:sz w:val="22"/>
          <w:szCs w:val="22"/>
        </w:rPr>
      </w:pPr>
      <w:r w:rsidRPr="00835FD8">
        <w:rPr>
          <w:rFonts w:ascii="Calibri" w:hAnsi="Calibri"/>
          <w:color w:val="auto"/>
          <w:sz w:val="22"/>
          <w:szCs w:val="22"/>
        </w:rPr>
        <w:t>However, such research has experienced a signific</w:t>
      </w:r>
      <w:r w:rsidR="00621F12">
        <w:rPr>
          <w:rFonts w:ascii="Calibri" w:hAnsi="Calibri"/>
          <w:color w:val="auto"/>
          <w:sz w:val="22"/>
          <w:szCs w:val="22"/>
        </w:rPr>
        <w:t xml:space="preserve">ant drop since 2007 when MiFID </w:t>
      </w:r>
      <w:r w:rsidR="009B5396">
        <w:rPr>
          <w:rStyle w:val="FootnoteReference"/>
          <w:rFonts w:ascii="Calibri" w:hAnsi="Calibri"/>
          <w:color w:val="auto"/>
          <w:sz w:val="22"/>
          <w:szCs w:val="22"/>
        </w:rPr>
        <w:footnoteReference w:id="31"/>
      </w:r>
      <w:r w:rsidRPr="00835FD8">
        <w:rPr>
          <w:rFonts w:ascii="Calibri" w:hAnsi="Calibri"/>
          <w:color w:val="auto"/>
          <w:sz w:val="22"/>
          <w:szCs w:val="22"/>
        </w:rPr>
        <w:t xml:space="preserve"> came into effect. In the UK</w:t>
      </w:r>
      <w:r w:rsidR="008B5656">
        <w:rPr>
          <w:rFonts w:ascii="Calibri" w:hAnsi="Calibri"/>
          <w:color w:val="auto"/>
          <w:sz w:val="22"/>
          <w:szCs w:val="22"/>
        </w:rPr>
        <w:t>, research</w:t>
      </w:r>
      <w:r w:rsidRPr="00835FD8">
        <w:rPr>
          <w:rFonts w:ascii="Calibri" w:hAnsi="Calibri"/>
          <w:color w:val="auto"/>
          <w:sz w:val="22"/>
          <w:szCs w:val="22"/>
        </w:rPr>
        <w:t xml:space="preserve"> has become a marketing communication and the financial promotion rules means that it cannot be made generally available. This has created a considerable information inequity between the professional investment community and other investors. The economics of SMEs dictate that sponsorship of coverage is the only realistic means by which the market can be provided with quality investment research.</w:t>
      </w:r>
    </w:p>
    <w:p w14:paraId="2744893C" w14:textId="19956F55" w:rsidR="00D10877" w:rsidRPr="00492A79" w:rsidRDefault="00D10877" w:rsidP="00D10877">
      <w:pPr>
        <w:jc w:val="both"/>
        <w:rPr>
          <w:rFonts w:ascii="Calibri" w:hAnsi="Calibri"/>
        </w:rPr>
      </w:pPr>
      <w:r w:rsidRPr="00835FD8">
        <w:rPr>
          <w:rFonts w:ascii="Calibri" w:hAnsi="Calibri"/>
        </w:rPr>
        <w:t>Recent research</w:t>
      </w:r>
      <w:r w:rsidR="00E76E2D">
        <w:rPr>
          <w:rFonts w:ascii="Calibri" w:hAnsi="Calibri"/>
        </w:rPr>
        <w:t xml:space="preserve"> by Hardman and Co</w:t>
      </w:r>
      <w:r w:rsidRPr="00835FD8">
        <w:rPr>
          <w:rFonts w:ascii="Calibri" w:hAnsi="Calibri"/>
        </w:rPr>
        <w:t xml:space="preserve"> has indicated that</w:t>
      </w:r>
      <w:r w:rsidR="00E76E2D">
        <w:rPr>
          <w:rFonts w:ascii="Calibri" w:hAnsi="Calibri"/>
        </w:rPr>
        <w:t>,</w:t>
      </w:r>
      <w:r w:rsidRPr="00835FD8">
        <w:rPr>
          <w:rFonts w:ascii="Calibri" w:hAnsi="Calibri"/>
        </w:rPr>
        <w:t xml:space="preserve"> </w:t>
      </w:r>
      <w:r w:rsidR="00E76E2D" w:rsidRPr="00E76E2D">
        <w:rPr>
          <w:rFonts w:ascii="Calibri" w:hAnsi="Calibri"/>
        </w:rPr>
        <w:t xml:space="preserve">on average, only </w:t>
      </w:r>
      <w:r w:rsidR="00E76E2D">
        <w:rPr>
          <w:rFonts w:ascii="Calibri" w:hAnsi="Calibri"/>
        </w:rPr>
        <w:t xml:space="preserve">companies listed on the </w:t>
      </w:r>
      <w:r w:rsidR="00E76E2D" w:rsidRPr="00E76E2D">
        <w:rPr>
          <w:rFonts w:ascii="Calibri" w:hAnsi="Calibri"/>
        </w:rPr>
        <w:t xml:space="preserve">Main Market </w:t>
      </w:r>
      <w:r w:rsidR="00E76E2D">
        <w:rPr>
          <w:rFonts w:ascii="Calibri" w:hAnsi="Calibri"/>
        </w:rPr>
        <w:t>of the London Stock Exchange</w:t>
      </w:r>
      <w:r w:rsidR="00E76E2D" w:rsidRPr="00E76E2D">
        <w:rPr>
          <w:rFonts w:ascii="Calibri" w:hAnsi="Calibri"/>
        </w:rPr>
        <w:t xml:space="preserve"> with</w:t>
      </w:r>
      <w:r w:rsidR="00E76E2D">
        <w:rPr>
          <w:rFonts w:ascii="Calibri" w:hAnsi="Calibri"/>
        </w:rPr>
        <w:t xml:space="preserve"> an individual</w:t>
      </w:r>
      <w:r w:rsidR="00E76E2D" w:rsidRPr="00E76E2D">
        <w:rPr>
          <w:rFonts w:ascii="Calibri" w:hAnsi="Calibri"/>
        </w:rPr>
        <w:t xml:space="preserve"> market </w:t>
      </w:r>
      <w:r w:rsidR="00E76E2D">
        <w:rPr>
          <w:rFonts w:ascii="Calibri" w:hAnsi="Calibri"/>
        </w:rPr>
        <w:t>capitalisation</w:t>
      </w:r>
      <w:r w:rsidR="00E76E2D" w:rsidRPr="00E76E2D">
        <w:rPr>
          <w:rFonts w:ascii="Calibri" w:hAnsi="Calibri"/>
        </w:rPr>
        <w:t xml:space="preserve"> above £500 million and AIM companies above £700 million will be covered by anyone other than the house broker or a paid-for research house (</w:t>
      </w:r>
      <w:r w:rsidR="00E76E2D">
        <w:rPr>
          <w:rFonts w:ascii="Calibri" w:hAnsi="Calibri"/>
        </w:rPr>
        <w:t>this assumes</w:t>
      </w:r>
      <w:r w:rsidR="00E76E2D" w:rsidRPr="00E76E2D">
        <w:rPr>
          <w:rFonts w:ascii="Calibri" w:hAnsi="Calibri"/>
        </w:rPr>
        <w:t xml:space="preserve"> that a non-house broker can capture all</w:t>
      </w:r>
      <w:r w:rsidR="00E76E2D">
        <w:rPr>
          <w:rFonts w:ascii="Calibri" w:hAnsi="Calibri"/>
        </w:rPr>
        <w:t xml:space="preserve"> </w:t>
      </w:r>
      <w:r w:rsidR="006C7979">
        <w:rPr>
          <w:rFonts w:ascii="Calibri" w:hAnsi="Calibri"/>
        </w:rPr>
        <w:t>of the non-house broker trade).</w:t>
      </w:r>
      <w:r w:rsidR="006C7979">
        <w:rPr>
          <w:rStyle w:val="FootnoteReference"/>
          <w:rFonts w:ascii="Calibri" w:hAnsi="Calibri"/>
        </w:rPr>
        <w:footnoteReference w:id="32"/>
      </w:r>
      <w:r w:rsidR="006C7979">
        <w:rPr>
          <w:rFonts w:ascii="Calibri" w:hAnsi="Calibri"/>
        </w:rPr>
        <w:t xml:space="preserve"> Therefore, </w:t>
      </w:r>
      <w:r w:rsidRPr="00835FD8">
        <w:rPr>
          <w:rFonts w:ascii="Calibri" w:hAnsi="Calibri"/>
        </w:rPr>
        <w:t>most companies with a</w:t>
      </w:r>
      <w:r w:rsidR="006C7979">
        <w:rPr>
          <w:rFonts w:ascii="Calibri" w:hAnsi="Calibri"/>
        </w:rPr>
        <w:t xml:space="preserve">n individual </w:t>
      </w:r>
      <w:r w:rsidRPr="00835FD8">
        <w:rPr>
          <w:rFonts w:ascii="Calibri" w:hAnsi="Calibri"/>
        </w:rPr>
        <w:t>market cap</w:t>
      </w:r>
      <w:r w:rsidR="006C7979">
        <w:rPr>
          <w:rFonts w:ascii="Calibri" w:hAnsi="Calibri"/>
        </w:rPr>
        <w:t>italisation</w:t>
      </w:r>
      <w:r w:rsidRPr="00835FD8">
        <w:rPr>
          <w:rFonts w:ascii="Calibri" w:hAnsi="Calibri"/>
        </w:rPr>
        <w:t xml:space="preserve"> of under £50</w:t>
      </w:r>
      <w:r w:rsidR="009B5396">
        <w:rPr>
          <w:rFonts w:ascii="Calibri" w:hAnsi="Calibri"/>
        </w:rPr>
        <w:t xml:space="preserve"> </w:t>
      </w:r>
      <w:r w:rsidRPr="00835FD8">
        <w:rPr>
          <w:rFonts w:ascii="Calibri" w:hAnsi="Calibri"/>
        </w:rPr>
        <w:t>m</w:t>
      </w:r>
      <w:r w:rsidR="009B5396">
        <w:rPr>
          <w:rFonts w:ascii="Calibri" w:hAnsi="Calibri"/>
        </w:rPr>
        <w:t>illion</w:t>
      </w:r>
      <w:r w:rsidRPr="00835FD8">
        <w:rPr>
          <w:rFonts w:ascii="Calibri" w:hAnsi="Calibri"/>
        </w:rPr>
        <w:t xml:space="preserve"> are very scarcely covered, only being covered by their own house broker and in some cases by research that they pay for.</w:t>
      </w:r>
    </w:p>
    <w:p w14:paraId="0B51869C" w14:textId="77777777" w:rsidR="00D10877" w:rsidRPr="00835FD8" w:rsidRDefault="00D10877" w:rsidP="00D10877">
      <w:pPr>
        <w:pStyle w:val="Default"/>
        <w:spacing w:after="200" w:line="276" w:lineRule="auto"/>
        <w:jc w:val="both"/>
        <w:rPr>
          <w:rFonts w:ascii="Calibri" w:hAnsi="Calibri"/>
          <w:color w:val="auto"/>
          <w:sz w:val="22"/>
          <w:szCs w:val="22"/>
        </w:rPr>
      </w:pPr>
      <w:r w:rsidRPr="00835FD8">
        <w:rPr>
          <w:rFonts w:ascii="Calibri" w:hAnsi="Calibri"/>
          <w:color w:val="auto"/>
          <w:sz w:val="22"/>
          <w:szCs w:val="22"/>
        </w:rPr>
        <w:lastRenderedPageBreak/>
        <w:t>Following our consistent campaigning, we welcomed the Financial Conduct Authority’s decision in July 2017 to continue allowing fund managers to receive small cap research without payment where it has been commissioned and paid for by a smaller quoted company, including when issuing new shares.</w:t>
      </w:r>
    </w:p>
    <w:p w14:paraId="51A5D0E8" w14:textId="77777777" w:rsidR="00D10877" w:rsidRPr="00492A79" w:rsidRDefault="00D10877" w:rsidP="00D10877">
      <w:pPr>
        <w:pStyle w:val="Default"/>
        <w:spacing w:after="200" w:line="276" w:lineRule="auto"/>
        <w:jc w:val="both"/>
        <w:rPr>
          <w:rFonts w:ascii="Calibri" w:hAnsi="Calibri"/>
          <w:sz w:val="22"/>
          <w:szCs w:val="22"/>
        </w:rPr>
      </w:pPr>
      <w:r w:rsidRPr="00492A79">
        <w:rPr>
          <w:rFonts w:ascii="Calibri" w:hAnsi="Calibri"/>
          <w:sz w:val="22"/>
          <w:szCs w:val="22"/>
        </w:rPr>
        <w:t>However</w:t>
      </w:r>
      <w:r w:rsidR="00937065">
        <w:rPr>
          <w:rFonts w:ascii="Calibri" w:hAnsi="Calibri"/>
          <w:sz w:val="22"/>
          <w:szCs w:val="22"/>
        </w:rPr>
        <w:t>,</w:t>
      </w:r>
      <w:r w:rsidRPr="00492A79">
        <w:rPr>
          <w:rFonts w:ascii="Calibri" w:hAnsi="Calibri"/>
          <w:sz w:val="22"/>
          <w:szCs w:val="22"/>
        </w:rPr>
        <w:t xml:space="preserve"> for research that has not been commissioned and paid for by a company – that is, where an institution pays a broker to undertake investment research on a company – the institution must pay VAT in addition to the broker’s fee, as the broker is deemed to be providing a service to the institution. This effectively reduces a broker’s revenue yield by 20%, which in turn limits the resources it can deploy to conduct the research. This disincentivises brokers and other provider of independent investment research to undertake such activities and </w:t>
      </w:r>
      <w:r>
        <w:rPr>
          <w:rFonts w:ascii="Calibri" w:hAnsi="Calibri"/>
          <w:sz w:val="22"/>
          <w:szCs w:val="22"/>
        </w:rPr>
        <w:t>effectively</w:t>
      </w:r>
      <w:r w:rsidRPr="00492A79">
        <w:rPr>
          <w:rFonts w:ascii="Calibri" w:hAnsi="Calibri"/>
          <w:sz w:val="22"/>
          <w:szCs w:val="22"/>
        </w:rPr>
        <w:t xml:space="preserve"> reduces the quantity of research on SMEs.</w:t>
      </w:r>
    </w:p>
    <w:p w14:paraId="5E0DF17F" w14:textId="77777777" w:rsidR="00AE04CC" w:rsidRDefault="00D10877" w:rsidP="00D10877">
      <w:pPr>
        <w:jc w:val="both"/>
        <w:rPr>
          <w:rFonts w:ascii="Calibri" w:hAnsi="Calibri"/>
          <w:b/>
        </w:rPr>
      </w:pPr>
      <w:r w:rsidRPr="006708B7">
        <w:rPr>
          <w:rFonts w:ascii="Calibri" w:hAnsi="Calibri"/>
          <w:b/>
        </w:rPr>
        <w:t xml:space="preserve">Therefore, we propose that small-cap research that has been paid for by an institution to a broker should be liable to either a zero rate or, at least, a reduced rate. </w:t>
      </w:r>
    </w:p>
    <w:p w14:paraId="45D9872C" w14:textId="47FDA5BF" w:rsidR="00D10877" w:rsidRDefault="00D10877" w:rsidP="006708B7">
      <w:pPr>
        <w:jc w:val="both"/>
        <w:rPr>
          <w:rFonts w:ascii="Calibri" w:hAnsi="Calibri"/>
        </w:rPr>
      </w:pPr>
      <w:r w:rsidRPr="00AE04CC">
        <w:rPr>
          <w:rFonts w:ascii="Calibri" w:hAnsi="Calibri"/>
        </w:rPr>
        <w:t xml:space="preserve">Not doing so will curtail the distribution of SME </w:t>
      </w:r>
      <w:r w:rsidRPr="004D204E">
        <w:rPr>
          <w:rFonts w:ascii="Calibri" w:hAnsi="Calibri"/>
        </w:rPr>
        <w:t>research which will</w:t>
      </w:r>
      <w:r w:rsidRPr="006708B7">
        <w:rPr>
          <w:rFonts w:ascii="Calibri" w:hAnsi="Calibri"/>
        </w:rPr>
        <w:t xml:space="preserve"> damage the interests of issuers and investors alike and reducing competition in the SME funding sector.</w:t>
      </w:r>
      <w:r w:rsidR="00AE04CC">
        <w:rPr>
          <w:rFonts w:ascii="Calibri" w:hAnsi="Calibri"/>
        </w:rPr>
        <w:t xml:space="preserve"> L</w:t>
      </w:r>
      <w:r w:rsidRPr="00492A79">
        <w:rPr>
          <w:rFonts w:ascii="Calibri" w:hAnsi="Calibri"/>
        </w:rPr>
        <w:t xml:space="preserve">evying VAT on investment research is an unintended consequence of the unbundling of research from execution commissions. Research has always been paid for through execution commissions which </w:t>
      </w:r>
      <w:r>
        <w:rPr>
          <w:rFonts w:ascii="Calibri" w:hAnsi="Calibri"/>
        </w:rPr>
        <w:t xml:space="preserve">are not </w:t>
      </w:r>
      <w:r w:rsidR="00937065">
        <w:rPr>
          <w:rFonts w:ascii="Calibri" w:hAnsi="Calibri"/>
        </w:rPr>
        <w:t>subject</w:t>
      </w:r>
      <w:r>
        <w:rPr>
          <w:rFonts w:ascii="Calibri" w:hAnsi="Calibri"/>
        </w:rPr>
        <w:t xml:space="preserve"> to VAT</w:t>
      </w:r>
      <w:r w:rsidRPr="00492A79">
        <w:rPr>
          <w:rFonts w:ascii="Calibri" w:hAnsi="Calibri"/>
        </w:rPr>
        <w:t>. Therefore we are not proposing a reduction in known tax revenue, rather one that has been inadvertently created.</w:t>
      </w:r>
    </w:p>
    <w:p w14:paraId="2C17EF34" w14:textId="6EECE3E7" w:rsidR="00BF0E3F" w:rsidRPr="006708B7" w:rsidRDefault="00D10877" w:rsidP="00D10877">
      <w:pPr>
        <w:pStyle w:val="Default"/>
        <w:spacing w:after="200" w:line="276" w:lineRule="auto"/>
        <w:jc w:val="both"/>
        <w:rPr>
          <w:rFonts w:ascii="Calibri" w:hAnsi="Calibri"/>
          <w:b/>
          <w:sz w:val="22"/>
          <w:szCs w:val="22"/>
        </w:rPr>
        <w:sectPr w:rsidR="00BF0E3F" w:rsidRPr="006708B7" w:rsidSect="00F27B7A">
          <w:pgSz w:w="11906" w:h="16838"/>
          <w:pgMar w:top="1134" w:right="1134" w:bottom="1134" w:left="1134" w:header="708" w:footer="708" w:gutter="0"/>
          <w:cols w:space="708"/>
          <w:docGrid w:linePitch="360"/>
        </w:sectPr>
      </w:pPr>
      <w:r w:rsidRPr="006708B7">
        <w:rPr>
          <w:rFonts w:ascii="Calibri" w:hAnsi="Calibri"/>
          <w:b/>
          <w:sz w:val="22"/>
          <w:szCs w:val="22"/>
        </w:rPr>
        <w:t>Alternatively, if the government is unable to amend investment research’s VAT rate, we propose using the new tax revenue generated to reinvest in tax incentives for small and mid-size quoted companies, such as facilitating IHT funds, outl</w:t>
      </w:r>
      <w:r w:rsidR="009B5396" w:rsidRPr="006708B7">
        <w:rPr>
          <w:rFonts w:ascii="Calibri" w:hAnsi="Calibri"/>
          <w:b/>
          <w:sz w:val="22"/>
          <w:szCs w:val="22"/>
        </w:rPr>
        <w:t>ined in item D of this section</w:t>
      </w:r>
      <w:r w:rsidRPr="006708B7">
        <w:rPr>
          <w:rFonts w:ascii="Calibri" w:hAnsi="Calibri"/>
          <w:b/>
          <w:sz w:val="22"/>
          <w:szCs w:val="22"/>
        </w:rPr>
        <w:t>.</w:t>
      </w:r>
    </w:p>
    <w:p w14:paraId="00EA16C2" w14:textId="77777777" w:rsidR="00630A39" w:rsidRPr="003339C7" w:rsidRDefault="00F72A74" w:rsidP="001113EE">
      <w:pPr>
        <w:pStyle w:val="Heading1"/>
        <w:numPr>
          <w:ilvl w:val="0"/>
          <w:numId w:val="1"/>
        </w:numPr>
        <w:spacing w:before="0" w:after="200"/>
        <w:ind w:left="567" w:hanging="426"/>
        <w:jc w:val="both"/>
        <w:rPr>
          <w:rFonts w:ascii="Calibri" w:hAnsi="Calibri"/>
          <w:color w:val="auto"/>
          <w:u w:val="single"/>
        </w:rPr>
      </w:pPr>
      <w:bookmarkStart w:id="9" w:name="_Toc19093857"/>
      <w:r w:rsidRPr="003339C7">
        <w:rPr>
          <w:rFonts w:ascii="Calibri" w:hAnsi="Calibri"/>
          <w:color w:val="auto"/>
          <w:u w:val="single"/>
        </w:rPr>
        <w:lastRenderedPageBreak/>
        <w:t>Simplifying the tax system</w:t>
      </w:r>
      <w:bookmarkEnd w:id="9"/>
    </w:p>
    <w:p w14:paraId="5472264F" w14:textId="0749FDDD" w:rsidR="006125C5" w:rsidRDefault="006125C5" w:rsidP="006125C5">
      <w:pPr>
        <w:jc w:val="both"/>
        <w:rPr>
          <w:rFonts w:ascii="Calibri" w:hAnsi="Calibri"/>
        </w:rPr>
      </w:pPr>
      <w:r>
        <w:rPr>
          <w:rFonts w:ascii="Calibri" w:hAnsi="Calibri"/>
        </w:rPr>
        <w:t>The UK has a reputation for having one of the world’s longest and most complex tax systems. Estimates have put the length of tax handbooks at nearly 12,000 pages.</w:t>
      </w:r>
      <w:r w:rsidR="00DD71D7">
        <w:rPr>
          <w:rStyle w:val="FootnoteReference"/>
          <w:rFonts w:ascii="Calibri" w:hAnsi="Calibri"/>
        </w:rPr>
        <w:footnoteReference w:id="33"/>
      </w:r>
    </w:p>
    <w:p w14:paraId="3A34946B" w14:textId="2D8AE540" w:rsidR="006125C5" w:rsidRPr="00DD2D5B" w:rsidRDefault="006125C5" w:rsidP="006125C5">
      <w:pPr>
        <w:jc w:val="both"/>
        <w:rPr>
          <w:rFonts w:ascii="Calibri" w:hAnsi="Calibri"/>
        </w:rPr>
      </w:pPr>
      <w:r w:rsidRPr="00DD2D5B">
        <w:rPr>
          <w:rFonts w:ascii="Calibri" w:hAnsi="Calibri"/>
        </w:rPr>
        <w:t>New tax legislation has added yet more complexity and volume to the existing framework, which in turn adds to the cost of compliance for companies. These additional costs are especially punitive for smaller, growth companies</w:t>
      </w:r>
      <w:r w:rsidR="000146C9">
        <w:rPr>
          <w:rFonts w:ascii="Calibri" w:hAnsi="Calibri"/>
        </w:rPr>
        <w:t xml:space="preserve"> who are, in many cases, not the target for much of the recent anti-avoidance legislation</w:t>
      </w:r>
      <w:r w:rsidRPr="00DD2D5B">
        <w:rPr>
          <w:rFonts w:ascii="Calibri" w:hAnsi="Calibri"/>
        </w:rPr>
        <w:t>.</w:t>
      </w:r>
    </w:p>
    <w:p w14:paraId="0E2EA00B" w14:textId="77777777" w:rsidR="006125C5" w:rsidRPr="00DD2D5B" w:rsidRDefault="006125C5" w:rsidP="006125C5">
      <w:pPr>
        <w:jc w:val="both"/>
        <w:rPr>
          <w:rFonts w:ascii="Calibri" w:hAnsi="Calibri"/>
        </w:rPr>
      </w:pPr>
      <w:r w:rsidRPr="00DD2D5B">
        <w:rPr>
          <w:rFonts w:ascii="Calibri" w:hAnsi="Calibri"/>
        </w:rPr>
        <w:t>An unwieldy tax system which requires companies to employ expensive advisers will both act as an obstacle for companies looking to set up their operations in the UK and disincentivise companies already located here from remaining in this country.</w:t>
      </w:r>
    </w:p>
    <w:p w14:paraId="2DBE914D" w14:textId="02ED6DA8" w:rsidR="006125C5" w:rsidRPr="00DD2D5B" w:rsidRDefault="006125C5" w:rsidP="006125C5">
      <w:pPr>
        <w:jc w:val="both"/>
        <w:rPr>
          <w:rFonts w:ascii="Calibri" w:hAnsi="Calibri"/>
        </w:rPr>
      </w:pPr>
      <w:r w:rsidRPr="00DD2D5B">
        <w:rPr>
          <w:rFonts w:ascii="Calibri" w:hAnsi="Calibri"/>
        </w:rPr>
        <w:t xml:space="preserve">It is our experience that small and mid-size quoted companies are willing to pay their fair share of taxation, in order to contribute to the society </w:t>
      </w:r>
      <w:r w:rsidR="007254B0">
        <w:rPr>
          <w:rFonts w:ascii="Calibri" w:hAnsi="Calibri"/>
        </w:rPr>
        <w:t>in which they operate. However</w:t>
      </w:r>
      <w:r w:rsidRPr="00DD2D5B">
        <w:rPr>
          <w:rFonts w:ascii="Calibri" w:hAnsi="Calibri"/>
        </w:rPr>
        <w:t>, it is imperative that an easy to understand and comply tax system is formed, so that they are able to reduce compliance costs in terms of both time and money and thus focus on their growth.</w:t>
      </w:r>
    </w:p>
    <w:p w14:paraId="02D8FF82" w14:textId="77777777" w:rsidR="006125C5" w:rsidRDefault="006125C5" w:rsidP="006125C5">
      <w:pPr>
        <w:jc w:val="both"/>
        <w:rPr>
          <w:rFonts w:ascii="Calibri" w:hAnsi="Calibri"/>
        </w:rPr>
      </w:pPr>
      <w:r w:rsidRPr="00DD2D5B">
        <w:rPr>
          <w:rFonts w:ascii="Calibri" w:hAnsi="Calibri"/>
        </w:rPr>
        <w:t>Below, we outline our proposals both for reforming the institutional framework which lies behind the tax policy making process, as well as how the tax system itself should be simplified.</w:t>
      </w:r>
    </w:p>
    <w:p w14:paraId="54610AC9" w14:textId="77777777" w:rsidR="00E612EF" w:rsidRPr="00DD2D5B" w:rsidRDefault="00E612EF" w:rsidP="00233725">
      <w:pPr>
        <w:pBdr>
          <w:top w:val="single" w:sz="4" w:space="1" w:color="auto"/>
        </w:pBdr>
        <w:spacing w:after="0"/>
        <w:jc w:val="both"/>
        <w:rPr>
          <w:rFonts w:ascii="Calibri" w:hAnsi="Calibri"/>
        </w:rPr>
      </w:pPr>
    </w:p>
    <w:p w14:paraId="25C0CCFE" w14:textId="1100A674" w:rsidR="00BA4D98" w:rsidRPr="00180EA0" w:rsidRDefault="00BA4D98" w:rsidP="00F27B7A">
      <w:pPr>
        <w:pStyle w:val="Heading2"/>
        <w:numPr>
          <w:ilvl w:val="0"/>
          <w:numId w:val="32"/>
        </w:numPr>
        <w:spacing w:before="0" w:after="200"/>
        <w:ind w:left="426" w:hanging="426"/>
        <w:jc w:val="both"/>
        <w:rPr>
          <w:rFonts w:ascii="Calibri" w:hAnsi="Calibri" w:cs="Calibri"/>
          <w:color w:val="auto"/>
          <w:sz w:val="24"/>
        </w:rPr>
      </w:pPr>
      <w:bookmarkStart w:id="10" w:name="_Toc19093858"/>
      <w:r w:rsidRPr="00180EA0">
        <w:rPr>
          <w:rFonts w:ascii="Calibri" w:hAnsi="Calibri" w:cs="Calibri"/>
          <w:color w:val="auto"/>
          <w:sz w:val="24"/>
        </w:rPr>
        <w:t>Strengthening the Office of Tax Simplification</w:t>
      </w:r>
      <w:bookmarkEnd w:id="10"/>
    </w:p>
    <w:p w14:paraId="38D588E4" w14:textId="1549D3EA" w:rsidR="00BA4D98" w:rsidRPr="00DD2D5B" w:rsidRDefault="00BA4D98" w:rsidP="00BA4D98">
      <w:pPr>
        <w:jc w:val="both"/>
        <w:rPr>
          <w:rFonts w:ascii="Calibri" w:hAnsi="Calibri"/>
        </w:rPr>
      </w:pPr>
      <w:r w:rsidRPr="00DD2D5B">
        <w:rPr>
          <w:rFonts w:ascii="Calibri" w:hAnsi="Calibri"/>
        </w:rPr>
        <w:t>Since its creation in 2010, the Office of Tax Simplification (OTS) has used its technical expertise to undertake valuable analysis of aspects of the UK tax system which should be simplified to reduce tax compliance burdens on UK businesses. We continue to support its efforts in this regard.</w:t>
      </w:r>
      <w:r w:rsidR="00915497">
        <w:rPr>
          <w:rFonts w:ascii="Calibri" w:hAnsi="Calibri"/>
        </w:rPr>
        <w:t xml:space="preserve"> </w:t>
      </w:r>
      <w:r w:rsidRPr="00DD2D5B">
        <w:rPr>
          <w:rFonts w:ascii="Calibri" w:hAnsi="Calibri"/>
        </w:rPr>
        <w:t xml:space="preserve">We have </w:t>
      </w:r>
      <w:r w:rsidR="00915497">
        <w:rPr>
          <w:rFonts w:ascii="Calibri" w:hAnsi="Calibri"/>
        </w:rPr>
        <w:t>appreciated</w:t>
      </w:r>
      <w:r w:rsidRPr="00DD2D5B">
        <w:rPr>
          <w:rFonts w:ascii="Calibri" w:hAnsi="Calibri"/>
        </w:rPr>
        <w:t xml:space="preserve"> t</w:t>
      </w:r>
      <w:r w:rsidR="00915497">
        <w:rPr>
          <w:rFonts w:ascii="Calibri" w:hAnsi="Calibri"/>
        </w:rPr>
        <w:t>he open nature in which successive</w:t>
      </w:r>
      <w:r w:rsidRPr="00DD2D5B">
        <w:rPr>
          <w:rFonts w:ascii="Calibri" w:hAnsi="Calibri"/>
        </w:rPr>
        <w:t xml:space="preserve"> OTS tax directors have engaged with the QCA Tax Expert Group. </w:t>
      </w:r>
    </w:p>
    <w:p w14:paraId="72F166D2" w14:textId="7D4D6D8A" w:rsidR="00BA4D98" w:rsidRPr="00DD2D5B" w:rsidRDefault="00915497" w:rsidP="00BA4D98">
      <w:pPr>
        <w:jc w:val="both"/>
        <w:rPr>
          <w:rFonts w:ascii="Calibri" w:hAnsi="Calibri"/>
        </w:rPr>
      </w:pPr>
      <w:r>
        <w:rPr>
          <w:rFonts w:ascii="Calibri" w:hAnsi="Calibri"/>
        </w:rPr>
        <w:t>Similarly</w:t>
      </w:r>
      <w:r w:rsidR="00BA4D98" w:rsidRPr="00DD2D5B">
        <w:rPr>
          <w:rFonts w:ascii="Calibri" w:hAnsi="Calibri"/>
        </w:rPr>
        <w:t>, we welcomed the OTS becoming a statutory body under the Finance Act 2016</w:t>
      </w:r>
      <w:r w:rsidR="00BA4D98" w:rsidRPr="00DD2D5B">
        <w:rPr>
          <w:rStyle w:val="FootnoteReference"/>
          <w:rFonts w:ascii="Calibri" w:hAnsi="Calibri"/>
        </w:rPr>
        <w:footnoteReference w:id="34"/>
      </w:r>
      <w:r w:rsidR="00BA4D98" w:rsidRPr="00DD2D5B">
        <w:rPr>
          <w:rFonts w:ascii="Calibri" w:hAnsi="Calibri"/>
        </w:rPr>
        <w:t xml:space="preserve"> as a positive step forward in putting the OTS on a more permanent footing. This marked a much-needed recognition of its value to the tax policymaking process.</w:t>
      </w:r>
    </w:p>
    <w:p w14:paraId="320277E2" w14:textId="77777777" w:rsidR="00BA4D98" w:rsidRPr="00DD2D5B" w:rsidRDefault="00BA4D98" w:rsidP="00BA4D98">
      <w:pPr>
        <w:jc w:val="both"/>
        <w:rPr>
          <w:rFonts w:ascii="Calibri" w:hAnsi="Calibri"/>
        </w:rPr>
      </w:pPr>
      <w:r w:rsidRPr="00DD2D5B">
        <w:rPr>
          <w:rFonts w:ascii="Calibri" w:hAnsi="Calibri"/>
        </w:rPr>
        <w:t>Yet, as the Institute for Fiscal Studies</w:t>
      </w:r>
      <w:r w:rsidRPr="00DD2D5B">
        <w:rPr>
          <w:rStyle w:val="FootnoteReference"/>
          <w:rFonts w:ascii="Calibri" w:hAnsi="Calibri"/>
        </w:rPr>
        <w:footnoteReference w:id="35"/>
      </w:r>
      <w:r w:rsidRPr="00DD2D5B">
        <w:rPr>
          <w:rFonts w:ascii="Calibri" w:hAnsi="Calibri"/>
        </w:rPr>
        <w:t xml:space="preserve"> has noted, the OTS’s remit continues to be largely limited to only being able to assess existing law and not proposed policy changes. This had led to instances where the OTS has made recommendations, while changes are being introduced by the government, which contradict or overlook the OTS’s recommendations.</w:t>
      </w:r>
    </w:p>
    <w:p w14:paraId="23BDDAAA" w14:textId="204CF849" w:rsidR="00BA4D98" w:rsidRDefault="00915497" w:rsidP="00BA4D98">
      <w:pPr>
        <w:jc w:val="both"/>
        <w:rPr>
          <w:rFonts w:ascii="Calibri" w:hAnsi="Calibri" w:cs="Arial"/>
        </w:rPr>
      </w:pPr>
      <w:r>
        <w:rPr>
          <w:rFonts w:ascii="Calibri" w:hAnsi="Calibri"/>
        </w:rPr>
        <w:t>The</w:t>
      </w:r>
      <w:r w:rsidR="00BA4D98" w:rsidRPr="00DD2D5B">
        <w:rPr>
          <w:rFonts w:ascii="Calibri" w:hAnsi="Calibri"/>
        </w:rPr>
        <w:t xml:space="preserve"> government should</w:t>
      </w:r>
      <w:r>
        <w:rPr>
          <w:rFonts w:ascii="Calibri" w:hAnsi="Calibri"/>
        </w:rPr>
        <w:t xml:space="preserve"> therefore</w:t>
      </w:r>
      <w:r w:rsidR="00BA4D98" w:rsidRPr="00DD2D5B">
        <w:rPr>
          <w:rFonts w:ascii="Calibri" w:hAnsi="Calibri"/>
        </w:rPr>
        <w:t xml:space="preserve"> take additional steps to strengthen the OTS’s influence on tax policymaking, while maintaining its collaborative working partnership with HMRC, HM Treasury, as well as external stakeholders, such as taxpayers and advisers.</w:t>
      </w:r>
      <w:r w:rsidR="00BA4D98" w:rsidRPr="00DD2D5B">
        <w:rPr>
          <w:rFonts w:ascii="Calibri" w:hAnsi="Calibri" w:cs="Arial"/>
        </w:rPr>
        <w:t xml:space="preserve"> </w:t>
      </w:r>
    </w:p>
    <w:p w14:paraId="69948438" w14:textId="77777777" w:rsidR="007254B0" w:rsidRDefault="007254B0" w:rsidP="00BA4D98">
      <w:pPr>
        <w:jc w:val="both"/>
        <w:rPr>
          <w:rFonts w:ascii="Calibri" w:hAnsi="Calibri" w:cs="Arial"/>
        </w:rPr>
      </w:pPr>
    </w:p>
    <w:p w14:paraId="457A8320" w14:textId="77777777" w:rsidR="00BA4D98" w:rsidRPr="00DD2D5B" w:rsidRDefault="00BA4D98" w:rsidP="00BA4D98">
      <w:pPr>
        <w:jc w:val="both"/>
        <w:rPr>
          <w:rFonts w:ascii="Calibri" w:hAnsi="Calibri"/>
        </w:rPr>
      </w:pPr>
      <w:r w:rsidRPr="00DD2D5B">
        <w:rPr>
          <w:rFonts w:ascii="Calibri" w:hAnsi="Calibri"/>
        </w:rPr>
        <w:lastRenderedPageBreak/>
        <w:t>This should be done in three ways.</w:t>
      </w:r>
    </w:p>
    <w:p w14:paraId="08053486" w14:textId="49011358" w:rsidR="00BA4D98" w:rsidRPr="00DD2D5B" w:rsidRDefault="00BA4D98" w:rsidP="006708B7">
      <w:pPr>
        <w:pStyle w:val="ListParagraph"/>
        <w:numPr>
          <w:ilvl w:val="0"/>
          <w:numId w:val="28"/>
        </w:numPr>
        <w:ind w:left="567" w:hanging="425"/>
        <w:contextualSpacing w:val="0"/>
        <w:jc w:val="both"/>
        <w:rPr>
          <w:rFonts w:ascii="Calibri" w:hAnsi="Calibri"/>
        </w:rPr>
      </w:pPr>
      <w:r w:rsidRPr="00DD2D5B">
        <w:rPr>
          <w:rFonts w:ascii="Calibri" w:hAnsi="Calibri"/>
        </w:rPr>
        <w:t>The OTS’s resource should be increased, so that it can more effectively promote tax simplification, including playing a more active role in scrutinising the impact of changes made by the government’s Budgets.</w:t>
      </w:r>
      <w:r w:rsidR="00915497">
        <w:rPr>
          <w:rFonts w:ascii="Calibri" w:hAnsi="Calibri"/>
        </w:rPr>
        <w:t xml:space="preserve"> With approximately just eight full-time equivalent staff available, we question the true extent to which it can do this.</w:t>
      </w:r>
    </w:p>
    <w:p w14:paraId="4ABCC09C" w14:textId="62FB3F35" w:rsidR="00BA4D98" w:rsidRPr="00DD2D5B" w:rsidRDefault="00BA4D98" w:rsidP="00915497">
      <w:pPr>
        <w:pStyle w:val="ListParagraph"/>
        <w:numPr>
          <w:ilvl w:val="0"/>
          <w:numId w:val="28"/>
        </w:numPr>
        <w:ind w:left="567" w:hanging="425"/>
        <w:contextualSpacing w:val="0"/>
        <w:jc w:val="both"/>
        <w:rPr>
          <w:rFonts w:ascii="Calibri" w:hAnsi="Calibri"/>
        </w:rPr>
      </w:pPr>
      <w:r w:rsidRPr="00DD2D5B">
        <w:rPr>
          <w:rFonts w:ascii="Calibri" w:hAnsi="Calibri"/>
        </w:rPr>
        <w:t xml:space="preserve">Perhaps most importantly – the government, as part of recognising the OTS’s importance to tax policymaking, should establish a formal relationship between the OTS and Parliament. </w:t>
      </w:r>
      <w:r w:rsidR="00915497">
        <w:rPr>
          <w:rFonts w:ascii="Calibri" w:hAnsi="Calibri"/>
        </w:rPr>
        <w:t>T</w:t>
      </w:r>
      <w:r w:rsidRPr="00DD2D5B">
        <w:rPr>
          <w:rFonts w:ascii="Calibri" w:hAnsi="Calibri"/>
        </w:rPr>
        <w:t xml:space="preserve">his could take the form of either a </w:t>
      </w:r>
      <w:r w:rsidRPr="00DD2D5B">
        <w:rPr>
          <w:rFonts w:ascii="Calibri" w:hAnsi="Calibri" w:cs="Arial"/>
        </w:rPr>
        <w:t xml:space="preserve">dedicated subcommittee of the Treasury Select Committee or a Joint Select Committee, which the OTS could directly present reports on tax simplification. </w:t>
      </w:r>
      <w:r w:rsidR="00915497">
        <w:rPr>
          <w:rFonts w:ascii="Calibri" w:hAnsi="Calibri" w:cs="Arial"/>
        </w:rPr>
        <w:t>T</w:t>
      </w:r>
      <w:r w:rsidRPr="00DD2D5B">
        <w:rPr>
          <w:rFonts w:ascii="Calibri" w:hAnsi="Calibri" w:cs="Arial"/>
        </w:rPr>
        <w:t>his would strengthen Parliament’s ability to effectively scrutinise the</w:t>
      </w:r>
      <w:r w:rsidR="00915497">
        <w:rPr>
          <w:rFonts w:ascii="Calibri" w:hAnsi="Calibri" w:cs="Arial"/>
        </w:rPr>
        <w:t xml:space="preserve"> government’s</w:t>
      </w:r>
      <w:r w:rsidRPr="00DD2D5B">
        <w:rPr>
          <w:rFonts w:ascii="Calibri" w:hAnsi="Calibri" w:cs="Arial"/>
        </w:rPr>
        <w:t xml:space="preserve"> formulation and implementation of tax policy. </w:t>
      </w:r>
      <w:r w:rsidR="00915497">
        <w:rPr>
          <w:rFonts w:ascii="Calibri" w:hAnsi="Calibri" w:cs="Arial"/>
        </w:rPr>
        <w:t xml:space="preserve">A </w:t>
      </w:r>
      <w:r w:rsidRPr="00DD2D5B">
        <w:rPr>
          <w:rFonts w:ascii="Calibri" w:hAnsi="Calibri" w:cs="Arial"/>
        </w:rPr>
        <w:t xml:space="preserve">similar precedent </w:t>
      </w:r>
      <w:r w:rsidR="00915497">
        <w:rPr>
          <w:rFonts w:ascii="Calibri" w:hAnsi="Calibri" w:cs="Arial"/>
        </w:rPr>
        <w:t>exists in the relationship</w:t>
      </w:r>
      <w:r w:rsidRPr="00DD2D5B">
        <w:rPr>
          <w:rFonts w:ascii="Calibri" w:hAnsi="Calibri" w:cs="Arial"/>
        </w:rPr>
        <w:t xml:space="preserve"> between the Subcommittee on the Work of the Independent Commission for Aid Impact and the International Development Select Committee.</w:t>
      </w:r>
    </w:p>
    <w:p w14:paraId="463608E6" w14:textId="56541B6B" w:rsidR="00BA4D98" w:rsidRDefault="00BA4D98" w:rsidP="00915497">
      <w:pPr>
        <w:pStyle w:val="ListParagraph"/>
        <w:numPr>
          <w:ilvl w:val="0"/>
          <w:numId w:val="28"/>
        </w:numPr>
        <w:ind w:left="567" w:hanging="425"/>
        <w:contextualSpacing w:val="0"/>
        <w:jc w:val="both"/>
        <w:rPr>
          <w:rFonts w:ascii="Calibri" w:hAnsi="Calibri"/>
        </w:rPr>
      </w:pPr>
      <w:r w:rsidRPr="00DD2D5B">
        <w:rPr>
          <w:rFonts w:ascii="Calibri" w:hAnsi="Calibri" w:cs="Arial"/>
        </w:rPr>
        <w:t>The government should assess how the OTS could play a role in formulating tax policy</w:t>
      </w:r>
      <w:r w:rsidR="00915497">
        <w:rPr>
          <w:rFonts w:ascii="Calibri" w:hAnsi="Calibri" w:cs="Arial"/>
        </w:rPr>
        <w:t>, without hindering the Chancellor’s political freedom</w:t>
      </w:r>
      <w:r w:rsidRPr="00DD2D5B">
        <w:rPr>
          <w:rFonts w:ascii="Calibri" w:hAnsi="Calibri" w:cs="Arial"/>
        </w:rPr>
        <w:t>.</w:t>
      </w:r>
      <w:r w:rsidRPr="00DD2D5B">
        <w:rPr>
          <w:rFonts w:ascii="Calibri" w:hAnsi="Calibri"/>
        </w:rPr>
        <w:t xml:space="preserve"> For example, </w:t>
      </w:r>
      <w:r w:rsidR="00915497">
        <w:rPr>
          <w:rFonts w:ascii="Calibri" w:hAnsi="Calibri"/>
        </w:rPr>
        <w:t>empowering the OTS</w:t>
      </w:r>
      <w:r w:rsidRPr="00DD2D5B">
        <w:rPr>
          <w:rFonts w:ascii="Calibri" w:hAnsi="Calibri"/>
        </w:rPr>
        <w:t xml:space="preserve"> to work alongside HM Treasury from the start of the tax policymaking process to assess </w:t>
      </w:r>
      <w:r w:rsidR="00915497">
        <w:rPr>
          <w:rFonts w:ascii="Calibri" w:hAnsi="Calibri"/>
          <w:bCs/>
        </w:rPr>
        <w:t>simplification, the OTS</w:t>
      </w:r>
      <w:r w:rsidRPr="00DD2D5B">
        <w:rPr>
          <w:rFonts w:ascii="Calibri" w:hAnsi="Calibri"/>
        </w:rPr>
        <w:t xml:space="preserve"> could provide more effective advice on alleviating the complexity of the tax system</w:t>
      </w:r>
    </w:p>
    <w:p w14:paraId="73ACB741" w14:textId="77777777" w:rsidR="00E612EF" w:rsidRPr="00233725" w:rsidRDefault="00E612EF" w:rsidP="00233725">
      <w:pPr>
        <w:pBdr>
          <w:top w:val="single" w:sz="4" w:space="1" w:color="auto"/>
        </w:pBdr>
        <w:spacing w:after="0"/>
        <w:jc w:val="both"/>
        <w:rPr>
          <w:rFonts w:ascii="Calibri" w:hAnsi="Calibri"/>
        </w:rPr>
      </w:pPr>
    </w:p>
    <w:p w14:paraId="22002C6F" w14:textId="0370D334" w:rsidR="00BA4D98" w:rsidRPr="00180EA0" w:rsidRDefault="00BA4D98" w:rsidP="00F27B7A">
      <w:pPr>
        <w:pStyle w:val="Heading2"/>
        <w:numPr>
          <w:ilvl w:val="0"/>
          <w:numId w:val="32"/>
        </w:numPr>
        <w:spacing w:before="0" w:after="200"/>
        <w:ind w:left="426" w:hanging="426"/>
        <w:jc w:val="both"/>
        <w:rPr>
          <w:rFonts w:ascii="Calibri" w:hAnsi="Calibri" w:cs="Calibri"/>
          <w:color w:val="auto"/>
          <w:sz w:val="24"/>
        </w:rPr>
      </w:pPr>
      <w:bookmarkStart w:id="11" w:name="_Toc19093859"/>
      <w:r w:rsidRPr="00180EA0">
        <w:rPr>
          <w:rFonts w:ascii="Calibri" w:hAnsi="Calibri" w:cs="Calibri"/>
          <w:color w:val="auto"/>
          <w:sz w:val="24"/>
        </w:rPr>
        <w:t>Introducing a Tax Gateway for small and mid-size quoted companies</w:t>
      </w:r>
      <w:bookmarkEnd w:id="11"/>
    </w:p>
    <w:p w14:paraId="7BB55FBC" w14:textId="77777777" w:rsidR="00BA4D98" w:rsidRPr="00DD2D5B" w:rsidRDefault="00BA4D98" w:rsidP="00BA4D98">
      <w:pPr>
        <w:jc w:val="both"/>
        <w:rPr>
          <w:rFonts w:ascii="Calibri" w:hAnsi="Calibri"/>
        </w:rPr>
      </w:pPr>
      <w:r w:rsidRPr="00DD2D5B">
        <w:rPr>
          <w:rFonts w:ascii="Calibri" w:hAnsi="Calibri"/>
        </w:rPr>
        <w:t>New tax rules aimed at reducing tax avoidance has, while undoubtedly well-intentioned, disproportionately affected small and mid-size quoted companies, despite being targeted at larger listed, multi-national companies.</w:t>
      </w:r>
    </w:p>
    <w:p w14:paraId="78269F16" w14:textId="77777777" w:rsidR="00BA4D98" w:rsidRPr="00DD2D5B" w:rsidRDefault="00BA4D98" w:rsidP="00BA4D98">
      <w:pPr>
        <w:jc w:val="both"/>
      </w:pPr>
      <w:r w:rsidRPr="00DD2D5B">
        <w:t>Legislation is often drafted in a way that compels small and mid-size quoted companies to incur substantial costs to discharge their obligations under the relevant rules. The fact that different areas of tax legislation contain different size thresholds make things more difficult for mid-sized companies</w:t>
      </w:r>
      <w:r>
        <w:t xml:space="preserve"> to plan effectively. W</w:t>
      </w:r>
      <w:r w:rsidRPr="00DD2D5B">
        <w:t xml:space="preserve">e would </w:t>
      </w:r>
      <w:r>
        <w:t>strongly encourage</w:t>
      </w:r>
      <w:r w:rsidRPr="00DD2D5B">
        <w:t xml:space="preserve"> alignment of these thresholds.</w:t>
      </w:r>
    </w:p>
    <w:p w14:paraId="7CB20F7E" w14:textId="06A7D378" w:rsidR="00BA4D98" w:rsidRPr="00DD2D5B" w:rsidRDefault="00BA4D98" w:rsidP="00BA4D98">
      <w:pPr>
        <w:jc w:val="both"/>
      </w:pPr>
      <w:r>
        <w:t>Indeed i</w:t>
      </w:r>
      <w:r w:rsidRPr="00DD2D5B">
        <w:t>t can be difficult, and therefore costly, for mid-sized companies to even determine that certain legislation does not impact them due to the complexity and significant amount of legislation that needs to be considered. Unless companies have in-house tax teams th</w:t>
      </w:r>
      <w:r w:rsidR="000146C9">
        <w:t>ey</w:t>
      </w:r>
      <w:r w:rsidRPr="00DD2D5B">
        <w:t xml:space="preserve"> are unlikely to be able to do this analysis themselves and therefore would be required to pay advisors to do this for them. </w:t>
      </w:r>
    </w:p>
    <w:p w14:paraId="56094264" w14:textId="77777777" w:rsidR="00BA4D98" w:rsidRPr="00DD2D5B" w:rsidRDefault="00BA4D98" w:rsidP="00BA4D98">
      <w:pPr>
        <w:jc w:val="both"/>
      </w:pPr>
      <w:r w:rsidRPr="00DD2D5B">
        <w:t>Specific examples of legislation where we consider this situation to often arise include:</w:t>
      </w:r>
    </w:p>
    <w:p w14:paraId="3C44ECA4" w14:textId="77777777" w:rsidR="00BA4D98" w:rsidRPr="00DD2D5B" w:rsidRDefault="00BA4D98" w:rsidP="00BA4D98">
      <w:pPr>
        <w:pStyle w:val="ListParagraph"/>
        <w:numPr>
          <w:ilvl w:val="0"/>
          <w:numId w:val="30"/>
        </w:numPr>
        <w:ind w:left="714" w:hanging="357"/>
        <w:contextualSpacing w:val="0"/>
        <w:jc w:val="both"/>
      </w:pPr>
      <w:r w:rsidRPr="00DD2D5B">
        <w:rPr>
          <w:b/>
        </w:rPr>
        <w:t>Diverted profits tax:</w:t>
      </w:r>
      <w:r w:rsidRPr="00DD2D5B">
        <w:t xml:space="preserve"> Whilst we understand that this legislation was aimed at the very largest international groups of companies the de </w:t>
      </w:r>
      <w:proofErr w:type="spellStart"/>
      <w:r w:rsidRPr="00DD2D5B">
        <w:t>minimis</w:t>
      </w:r>
      <w:proofErr w:type="spellEnd"/>
      <w:r w:rsidRPr="00DD2D5B">
        <w:t xml:space="preserve"> limits in the legislation mean that some mid-sized companies are caught by these rules. As the tests are fairly subjective in nature a business can face substantial work in order to conclude the rules do not apply to them.</w:t>
      </w:r>
    </w:p>
    <w:p w14:paraId="3B372226" w14:textId="77777777" w:rsidR="00BA4D98" w:rsidRPr="00DD2D5B" w:rsidRDefault="00BA4D98" w:rsidP="00BA4D98">
      <w:pPr>
        <w:pStyle w:val="ListParagraph"/>
        <w:numPr>
          <w:ilvl w:val="0"/>
          <w:numId w:val="30"/>
        </w:numPr>
        <w:ind w:left="714" w:hanging="357"/>
        <w:contextualSpacing w:val="0"/>
        <w:jc w:val="both"/>
      </w:pPr>
      <w:r w:rsidRPr="00DD2D5B">
        <w:rPr>
          <w:b/>
        </w:rPr>
        <w:t xml:space="preserve">Corporate interest restriction: </w:t>
      </w:r>
      <w:r w:rsidRPr="00DD2D5B">
        <w:t>Although there is a £2</w:t>
      </w:r>
      <w:r>
        <w:t xml:space="preserve"> </w:t>
      </w:r>
      <w:r w:rsidRPr="00DD2D5B">
        <w:t>m</w:t>
      </w:r>
      <w:r>
        <w:t>illion</w:t>
      </w:r>
      <w:r w:rsidRPr="00DD2D5B">
        <w:t xml:space="preserve"> p</w:t>
      </w:r>
      <w:r>
        <w:t xml:space="preserve">er </w:t>
      </w:r>
      <w:r w:rsidRPr="00DD2D5B">
        <w:t>a</w:t>
      </w:r>
      <w:r>
        <w:t>nnum</w:t>
      </w:r>
      <w:r w:rsidRPr="00DD2D5B">
        <w:t xml:space="preserve"> de </w:t>
      </w:r>
      <w:proofErr w:type="spellStart"/>
      <w:r w:rsidRPr="00DD2D5B">
        <w:t>minimis</w:t>
      </w:r>
      <w:proofErr w:type="spellEnd"/>
      <w:r w:rsidRPr="00DD2D5B">
        <w:t xml:space="preserve"> limit in the Corporate Interest Restriction rules, this limit is fairly low and many mid-sized businesses can find themselves caught by this legislation. They can then face significant compliance costs even if the rules do not result in any interest being treated as not deductible for tax purposes, primarily due to the significant amount of legislation and the numerous definitions and adjustments included in the </w:t>
      </w:r>
      <w:r w:rsidRPr="00DD2D5B">
        <w:lastRenderedPageBreak/>
        <w:t>legislation. This is particularly the case where a business needs to perform calculations under the group ratio rule, which can be a very complicated and time consuming exercise.</w:t>
      </w:r>
    </w:p>
    <w:p w14:paraId="4CD3CD6C" w14:textId="4B22EFD1" w:rsidR="006708B7" w:rsidRDefault="00BA4D98" w:rsidP="006708B7">
      <w:pPr>
        <w:pStyle w:val="ListParagraph"/>
        <w:numPr>
          <w:ilvl w:val="0"/>
          <w:numId w:val="30"/>
        </w:numPr>
        <w:ind w:left="714" w:hanging="357"/>
        <w:contextualSpacing w:val="0"/>
        <w:jc w:val="both"/>
      </w:pPr>
      <w:r w:rsidRPr="00DD2D5B">
        <w:rPr>
          <w:b/>
        </w:rPr>
        <w:t xml:space="preserve">Transfer pricing: </w:t>
      </w:r>
      <w:r w:rsidRPr="00DD2D5B">
        <w:t>Whilst the Transfer Pricing rules contain size thresholds, groups that fall into the definition of “medium sized” face uncertainty on the application of the rules to their business due to the possibility that HMRC could issue a Transfer Pricing Notice under s168(1)(b) TIOPA 2010, thus forcing them to comply with the rules.</w:t>
      </w:r>
    </w:p>
    <w:p w14:paraId="165701B1" w14:textId="77777777" w:rsidR="007144CC" w:rsidRDefault="00BA4D98" w:rsidP="006708B7">
      <w:pPr>
        <w:pStyle w:val="ListParagraph"/>
        <w:ind w:left="714"/>
        <w:contextualSpacing w:val="0"/>
        <w:jc w:val="both"/>
      </w:pPr>
      <w:r w:rsidRPr="00DD2D5B">
        <w:t xml:space="preserve">This means many mid-sized companies are unsure of the extent to which these rules apply to them and therefore can incur significant costs in order to mitigate the perceived risk of being caught by the Transfer Pricing rules in full. </w:t>
      </w:r>
    </w:p>
    <w:p w14:paraId="4F2F6A80" w14:textId="36C7937F" w:rsidR="007144CC" w:rsidRPr="00982174" w:rsidRDefault="00982174" w:rsidP="006708B7">
      <w:pPr>
        <w:pStyle w:val="ListParagraph"/>
        <w:ind w:left="714"/>
        <w:contextualSpacing w:val="0"/>
        <w:jc w:val="both"/>
        <w:rPr>
          <w:color w:val="FF0000"/>
        </w:rPr>
      </w:pPr>
      <w:r w:rsidRPr="00982174">
        <w:rPr>
          <w:color w:val="FF0000"/>
        </w:rPr>
        <w:t>I</w:t>
      </w:r>
      <w:r w:rsidR="008B3BD7" w:rsidRPr="00982174">
        <w:rPr>
          <w:color w:val="FF0000"/>
        </w:rPr>
        <w:t xml:space="preserve">n our experience, HMRC use the powers s168(1)(b) very infrequently meaning that “medium sized” groups currently fall into a limbo category where they may be compelled by HMRC to operate transfer pricing, though in practice are seldom required to do so. </w:t>
      </w:r>
    </w:p>
    <w:p w14:paraId="42DEF17E" w14:textId="77777777" w:rsidR="00BA4D98" w:rsidRPr="00DD2D5B" w:rsidRDefault="00BA4D98" w:rsidP="00BA4D98">
      <w:pPr>
        <w:pStyle w:val="ListParagraph"/>
        <w:numPr>
          <w:ilvl w:val="0"/>
          <w:numId w:val="30"/>
        </w:numPr>
        <w:ind w:left="714" w:hanging="357"/>
        <w:contextualSpacing w:val="0"/>
        <w:jc w:val="both"/>
      </w:pPr>
      <w:r w:rsidRPr="00DD2D5B">
        <w:rPr>
          <w:b/>
        </w:rPr>
        <w:t>Anti-hybrid rules:</w:t>
      </w:r>
      <w:r w:rsidRPr="00DD2D5B">
        <w:t xml:space="preserve"> Whilst we acknowledge the intention of the Anti-hybrid legislation, as there is no formal de </w:t>
      </w:r>
      <w:proofErr w:type="spellStart"/>
      <w:r w:rsidRPr="00DD2D5B">
        <w:t>minimis</w:t>
      </w:r>
      <w:proofErr w:type="spellEnd"/>
      <w:r w:rsidRPr="00DD2D5B">
        <w:t xml:space="preserve"> limit included in the rules mid-sized companies can face significant costs to determine whether the rules apply to them. This can be particularly difficult where a company does not have full visibility of the tax treatment applied by the counterparty to any transactions, such as an external investor.</w:t>
      </w:r>
    </w:p>
    <w:p w14:paraId="7DE33F05" w14:textId="5A3D173C" w:rsidR="00BA4D98" w:rsidRPr="00DD2D5B" w:rsidRDefault="00BA4D98" w:rsidP="00BA4D98">
      <w:pPr>
        <w:jc w:val="both"/>
      </w:pPr>
      <w:r w:rsidRPr="00DD2D5B">
        <w:t>It is difficult to quantify the costs of complying with these rules for a mid-sized company as it depends on the facts and circumstances of each case, and then the costs will vary between advisors. However, we would estimate that for an average mid-sized company a review to determine the impact of any of the above pieces of legislation could easi</w:t>
      </w:r>
      <w:r w:rsidR="000146C9">
        <w:t>ly</w:t>
      </w:r>
      <w:r w:rsidRPr="00DD2D5B">
        <w:t xml:space="preserve"> cost</w:t>
      </w:r>
      <w:r w:rsidR="000146C9">
        <w:t xml:space="preserve"> between</w:t>
      </w:r>
      <w:r w:rsidRPr="00DD2D5B">
        <w:t xml:space="preserve"> £10,000 </w:t>
      </w:r>
      <w:r w:rsidR="000146C9">
        <w:t>and</w:t>
      </w:r>
      <w:r w:rsidR="000146C9" w:rsidRPr="00DD2D5B">
        <w:t xml:space="preserve"> </w:t>
      </w:r>
      <w:r w:rsidRPr="00DD2D5B">
        <w:t xml:space="preserve">£20,000. </w:t>
      </w:r>
    </w:p>
    <w:p w14:paraId="11F59144" w14:textId="7795E7E0" w:rsidR="00BA4D98" w:rsidRPr="00DB161F" w:rsidRDefault="00BA4D98" w:rsidP="00BA4D98">
      <w:pPr>
        <w:jc w:val="both"/>
        <w:rPr>
          <w:b/>
        </w:rPr>
      </w:pPr>
      <w:r w:rsidRPr="00DB161F">
        <w:rPr>
          <w:b/>
        </w:rPr>
        <w:t xml:space="preserve">To counter this, we propose that the Government introduces a Tax Gateway, which would allow small and mid-size quoted </w:t>
      </w:r>
      <w:r w:rsidR="00FF60DF">
        <w:rPr>
          <w:b/>
        </w:rPr>
        <w:t>groups</w:t>
      </w:r>
      <w:r w:rsidR="00FF60DF" w:rsidRPr="00DB161F">
        <w:rPr>
          <w:b/>
        </w:rPr>
        <w:t xml:space="preserve"> </w:t>
      </w:r>
      <w:r w:rsidRPr="00DB161F">
        <w:rPr>
          <w:b/>
        </w:rPr>
        <w:t>with a turnover of less than £200 million – to align with the threshold set for the Senior Accounting Officer (SAO) regime threshold – to be exempt from certain reporting requirements and disclosure (such as those mentioned above).</w:t>
      </w:r>
    </w:p>
    <w:p w14:paraId="14D2874B" w14:textId="77777777" w:rsidR="00BA4D98" w:rsidRPr="004B5370" w:rsidRDefault="00BA4D98" w:rsidP="00BA4D98">
      <w:pPr>
        <w:jc w:val="both"/>
      </w:pPr>
      <w:r>
        <w:t>In order to mitigate the risk of companies establishing a number of different corporate groups to stay below the turnover threshold (despite being economically being in one single group), there should also be a common control test.</w:t>
      </w:r>
    </w:p>
    <w:p w14:paraId="4C3AAF9E" w14:textId="1FDDAB6C" w:rsidR="00BA4D98" w:rsidRDefault="00BA4D98" w:rsidP="00BA4D98">
      <w:pPr>
        <w:jc w:val="both"/>
      </w:pPr>
      <w:r w:rsidRPr="006708B7">
        <w:t>We believe that a Tax Ga</w:t>
      </w:r>
      <w:r w:rsidR="006125C5" w:rsidRPr="006708B7">
        <w:t>teway would play a pivotal role</w:t>
      </w:r>
      <w:r w:rsidR="006708B7">
        <w:t xml:space="preserve"> in reducing administrative burdens for small and mid-size quoted companies</w:t>
      </w:r>
      <w:r w:rsidR="006125C5" w:rsidRPr="006708B7">
        <w:t>.</w:t>
      </w:r>
    </w:p>
    <w:p w14:paraId="0360A2A8" w14:textId="77777777" w:rsidR="00E612EF" w:rsidRDefault="00E612EF" w:rsidP="00233725">
      <w:pPr>
        <w:pBdr>
          <w:top w:val="single" w:sz="4" w:space="1" w:color="auto"/>
        </w:pBdr>
        <w:spacing w:after="0"/>
        <w:jc w:val="both"/>
      </w:pPr>
    </w:p>
    <w:p w14:paraId="62FDEA1E" w14:textId="77777777" w:rsidR="00E612EF" w:rsidRDefault="00E612EF" w:rsidP="00233725">
      <w:pPr>
        <w:pBdr>
          <w:top w:val="single" w:sz="4" w:space="1" w:color="auto"/>
        </w:pBdr>
        <w:spacing w:after="0"/>
        <w:jc w:val="both"/>
        <w:rPr>
          <w:rFonts w:ascii="Calibri" w:hAnsi="Calibri" w:cs="Calibri"/>
        </w:rPr>
      </w:pPr>
    </w:p>
    <w:p w14:paraId="175AC550" w14:textId="28EB810E" w:rsidR="004C2E34" w:rsidRDefault="00C23A2D" w:rsidP="00F27B7A">
      <w:pPr>
        <w:pStyle w:val="Heading2"/>
        <w:numPr>
          <w:ilvl w:val="0"/>
          <w:numId w:val="32"/>
        </w:numPr>
        <w:spacing w:before="0" w:after="200"/>
        <w:ind w:left="426" w:hanging="426"/>
        <w:jc w:val="both"/>
        <w:rPr>
          <w:rFonts w:ascii="Calibri" w:hAnsi="Calibri"/>
          <w:color w:val="auto"/>
          <w:sz w:val="24"/>
        </w:rPr>
      </w:pPr>
      <w:bookmarkStart w:id="12" w:name="_Toc19093860"/>
      <w:r>
        <w:rPr>
          <w:rFonts w:ascii="Calibri" w:hAnsi="Calibri"/>
          <w:color w:val="auto"/>
          <w:sz w:val="24"/>
        </w:rPr>
        <w:t>Allowing agents to register and de-register companies’ share plans</w:t>
      </w:r>
      <w:bookmarkEnd w:id="12"/>
    </w:p>
    <w:p w14:paraId="6F2A7FF6" w14:textId="77777777" w:rsidR="00AA5DE1" w:rsidRPr="00AA5DE1" w:rsidRDefault="00AA5DE1" w:rsidP="00AA5DE1">
      <w:pPr>
        <w:jc w:val="both"/>
        <w:rPr>
          <w:rFonts w:ascii="Calibri" w:hAnsi="Calibri" w:cs="Calibri"/>
        </w:rPr>
      </w:pPr>
      <w:r w:rsidRPr="00AA5DE1">
        <w:rPr>
          <w:rFonts w:ascii="Calibri" w:hAnsi="Calibri" w:cs="Calibri"/>
        </w:rPr>
        <w:t xml:space="preserve">Since April 2014, companies that operate employee share plans or that have otherwise issued shares or other securities (as detailed in section 420(1) of the Income Tax (Earnings &amp; Pensions) Act 2003) by reason of employment, are required to make annual returns via the HMRC online reporting system. </w:t>
      </w:r>
    </w:p>
    <w:p w14:paraId="4C7BE37F" w14:textId="0E0FDB45" w:rsidR="00AA5DE1" w:rsidRPr="004051D8" w:rsidRDefault="006D1A36" w:rsidP="00AA5DE1">
      <w:pPr>
        <w:jc w:val="both"/>
        <w:rPr>
          <w:rFonts w:ascii="Calibri" w:hAnsi="Calibri" w:cs="Calibri"/>
          <w:color w:val="FF0000"/>
        </w:rPr>
      </w:pPr>
      <w:r>
        <w:rPr>
          <w:rFonts w:ascii="Calibri" w:hAnsi="Calibri" w:cs="Calibri"/>
        </w:rPr>
        <w:t>Many</w:t>
      </w:r>
      <w:r w:rsidR="00AA5DE1" w:rsidRPr="00AA5DE1">
        <w:rPr>
          <w:rFonts w:ascii="Calibri" w:hAnsi="Calibri" w:cs="Calibri"/>
        </w:rPr>
        <w:t xml:space="preserve"> practical difficulties </w:t>
      </w:r>
      <w:r w:rsidR="00AA5DE1" w:rsidRPr="004051D8">
        <w:rPr>
          <w:rFonts w:ascii="Calibri" w:hAnsi="Calibri" w:cs="Calibri"/>
          <w:color w:val="FF0000"/>
        </w:rPr>
        <w:t xml:space="preserve">have been </w:t>
      </w:r>
      <w:r w:rsidRPr="004051D8">
        <w:rPr>
          <w:rFonts w:ascii="Calibri" w:hAnsi="Calibri" w:cs="Calibri"/>
          <w:color w:val="FF0000"/>
        </w:rPr>
        <w:t>ironed out as a result of HMRC interaction by professional advisers when preparing returns and notifying option grants, as required</w:t>
      </w:r>
      <w:r w:rsidR="007254B0" w:rsidRPr="004051D8">
        <w:rPr>
          <w:rFonts w:ascii="Calibri" w:hAnsi="Calibri" w:cs="Calibri"/>
          <w:color w:val="FF0000"/>
        </w:rPr>
        <w:t>.</w:t>
      </w:r>
      <w:r w:rsidR="00AA5DE1" w:rsidRPr="004051D8">
        <w:rPr>
          <w:rFonts w:ascii="Calibri" w:hAnsi="Calibri" w:cs="Calibri"/>
          <w:color w:val="FF0000"/>
        </w:rPr>
        <w:t xml:space="preserve"> </w:t>
      </w:r>
      <w:r w:rsidRPr="004051D8">
        <w:rPr>
          <w:rFonts w:ascii="Calibri" w:hAnsi="Calibri" w:cs="Calibri"/>
          <w:color w:val="FF0000"/>
        </w:rPr>
        <w:t xml:space="preserve">However, companies cannot ask their </w:t>
      </w:r>
      <w:r w:rsidRPr="004051D8">
        <w:rPr>
          <w:rFonts w:ascii="Calibri" w:hAnsi="Calibri" w:cs="Calibri"/>
          <w:color w:val="FF0000"/>
        </w:rPr>
        <w:lastRenderedPageBreak/>
        <w:t>advisers</w:t>
      </w:r>
      <w:r w:rsidR="00AA5DE1" w:rsidRPr="00AA5DE1">
        <w:rPr>
          <w:rFonts w:ascii="Calibri" w:hAnsi="Calibri" w:cs="Calibri"/>
        </w:rPr>
        <w:t xml:space="preserve"> to register and close plans</w:t>
      </w:r>
      <w:r w:rsidRPr="004051D8">
        <w:rPr>
          <w:rFonts w:ascii="Calibri" w:hAnsi="Calibri" w:cs="Calibri"/>
          <w:color w:val="FF0000"/>
        </w:rPr>
        <w:t>, which frequently leads to errors by the company’s staff, which uses up HMRC staff time to correct</w:t>
      </w:r>
      <w:r w:rsidR="00AA5DE1" w:rsidRPr="004051D8">
        <w:rPr>
          <w:rFonts w:ascii="Calibri" w:hAnsi="Calibri" w:cs="Calibri"/>
          <w:color w:val="FF0000"/>
        </w:rPr>
        <w:t xml:space="preserve">.  </w:t>
      </w:r>
    </w:p>
    <w:p w14:paraId="2A647A8C" w14:textId="77777777" w:rsidR="00AA5DE1" w:rsidRDefault="00AA5DE1" w:rsidP="00AA5DE1">
      <w:pPr>
        <w:jc w:val="both"/>
        <w:rPr>
          <w:rFonts w:ascii="Calibri" w:hAnsi="Calibri" w:cs="Calibri"/>
        </w:rPr>
      </w:pPr>
      <w:r w:rsidRPr="00AA5DE1">
        <w:rPr>
          <w:rFonts w:ascii="Calibri" w:hAnsi="Calibri" w:cs="Calibri"/>
        </w:rPr>
        <w:t>The company itself must register a plan (whether or not it operates a formal share scheme) in order to make the annual return rather than being able to delegate this task to an authorised agent. Once registered, however, the annual returns and in the case of EMI, option notifications,</w:t>
      </w:r>
      <w:r>
        <w:rPr>
          <w:rFonts w:ascii="Calibri" w:hAnsi="Calibri" w:cs="Calibri"/>
        </w:rPr>
        <w:t xml:space="preserve"> can be completed by an agent. </w:t>
      </w:r>
      <w:r w:rsidRPr="00AA5DE1">
        <w:rPr>
          <w:rFonts w:ascii="Calibri" w:hAnsi="Calibri" w:cs="Calibri"/>
        </w:rPr>
        <w:t xml:space="preserve">Equally the company itself must close any inactive scheme. This process is time consuming for the company and can lead to difficulties in undertaking the process if the company does not have the necessary administrative functions in house, particularly where it outsources its payroll and similar functions. </w:t>
      </w:r>
    </w:p>
    <w:p w14:paraId="03BC808A" w14:textId="15889708" w:rsidR="00416B91" w:rsidRDefault="00416B91" w:rsidP="004C2E34">
      <w:pPr>
        <w:jc w:val="both"/>
        <w:rPr>
          <w:rFonts w:ascii="Calibri" w:hAnsi="Calibri" w:cs="Calibri"/>
        </w:rPr>
      </w:pPr>
      <w:r w:rsidRPr="0060036E">
        <w:rPr>
          <w:rFonts w:ascii="Calibri" w:hAnsi="Calibri" w:cs="Calibri"/>
          <w:b/>
          <w:i/>
          <w:noProof/>
          <w:lang w:eastAsia="en-GB"/>
        </w:rPr>
        <mc:AlternateContent>
          <mc:Choice Requires="wps">
            <w:drawing>
              <wp:inline distT="0" distB="0" distL="0" distR="0" wp14:anchorId="3416CE02" wp14:editId="0CF5F720">
                <wp:extent cx="6120130" cy="546265"/>
                <wp:effectExtent l="0" t="0" r="13970" b="25400"/>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4626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2DD7E59" w14:textId="156352EE" w:rsidR="006A5868" w:rsidRPr="00B4771B" w:rsidRDefault="006A5868" w:rsidP="00416B91">
                            <w:pPr>
                              <w:jc w:val="both"/>
                              <w:rPr>
                                <w:rFonts w:ascii="Calibri" w:hAnsi="Calibri" w:cs="Calibri"/>
                                <w:b/>
                              </w:rPr>
                            </w:pPr>
                            <w:r w:rsidRPr="0060036E">
                              <w:rPr>
                                <w:rFonts w:ascii="Calibri" w:hAnsi="Calibri" w:cs="Calibri"/>
                                <w:b/>
                              </w:rPr>
                              <w:t xml:space="preserve">We have collated and anonymised several examples of small and mid-size companies that have had practical difficulties with </w:t>
                            </w:r>
                            <w:r>
                              <w:rPr>
                                <w:rFonts w:ascii="Calibri" w:hAnsi="Calibri" w:cs="Calibri"/>
                                <w:b/>
                              </w:rPr>
                              <w:t>ERS returns in</w:t>
                            </w:r>
                            <w:r w:rsidRPr="0060036E">
                              <w:rPr>
                                <w:rFonts w:ascii="Calibri" w:hAnsi="Calibri" w:cs="Calibri"/>
                                <w:b/>
                              </w:rPr>
                              <w:t xml:space="preserve"> Appendix </w:t>
                            </w:r>
                            <w:r>
                              <w:rPr>
                                <w:rFonts w:ascii="Calibri" w:hAnsi="Calibri" w:cs="Calibri"/>
                                <w:b/>
                              </w:rPr>
                              <w:t>D</w:t>
                            </w:r>
                            <w:r w:rsidRPr="0060036E">
                              <w:rPr>
                                <w:rFonts w:ascii="Calibri" w:hAnsi="Calibri" w:cs="Calibri"/>
                                <w:b/>
                              </w:rPr>
                              <w:t>.</w:t>
                            </w:r>
                          </w:p>
                          <w:p w14:paraId="0644E132" w14:textId="77777777" w:rsidR="006A5868" w:rsidRPr="008E5291" w:rsidRDefault="006A5868" w:rsidP="00416B91">
                            <w:pPr>
                              <w:jc w:val="both"/>
                            </w:pPr>
                          </w:p>
                        </w:txbxContent>
                      </wps:txbx>
                      <wps:bodyPr rot="0" vert="horz" wrap="square" lIns="91440" tIns="45720" rIns="91440" bIns="45720" anchor="t" anchorCtr="0">
                        <a:noAutofit/>
                      </wps:bodyPr>
                    </wps:wsp>
                  </a:graphicData>
                </a:graphic>
              </wp:inline>
            </w:drawing>
          </mc:Choice>
          <mc:Fallback>
            <w:pict>
              <v:shape w14:anchorId="3416CE02" id="_x0000_s1029" type="#_x0000_t202" style="width:481.9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" fillcolor="white [3201]" strokecolor="black [3200]" strokeweight="2pt">
                <v:textbox>
                  <w:txbxContent>
                    <w:p w14:paraId="02DD7E59" w14:textId="156352EE" w:rsidR="006A5868" w:rsidRPr="00B4771B" w:rsidRDefault="006A5868" w:rsidP="00416B91">
                      <w:pPr>
                        <w:jc w:val="both"/>
                        <w:rPr>
                          <w:rFonts w:ascii="Calibri" w:hAnsi="Calibri" w:cs="Calibri"/>
                          <w:b/>
                        </w:rPr>
                      </w:pPr>
                      <w:r w:rsidRPr="0060036E">
                        <w:rPr>
                          <w:rFonts w:ascii="Calibri" w:hAnsi="Calibri" w:cs="Calibri"/>
                          <w:b/>
                        </w:rPr>
                        <w:t xml:space="preserve">We have collated and anonymised several examples of small and mid-size companies that have had practical difficulties with </w:t>
                      </w:r>
                      <w:r>
                        <w:rPr>
                          <w:rFonts w:ascii="Calibri" w:hAnsi="Calibri" w:cs="Calibri"/>
                          <w:b/>
                        </w:rPr>
                        <w:t>ERS returns in</w:t>
                      </w:r>
                      <w:r w:rsidRPr="0060036E">
                        <w:rPr>
                          <w:rFonts w:ascii="Calibri" w:hAnsi="Calibri" w:cs="Calibri"/>
                          <w:b/>
                        </w:rPr>
                        <w:t xml:space="preserve"> Appendix </w:t>
                      </w:r>
                      <w:r>
                        <w:rPr>
                          <w:rFonts w:ascii="Calibri" w:hAnsi="Calibri" w:cs="Calibri"/>
                          <w:b/>
                        </w:rPr>
                        <w:t>D</w:t>
                      </w:r>
                      <w:r w:rsidRPr="0060036E">
                        <w:rPr>
                          <w:rFonts w:ascii="Calibri" w:hAnsi="Calibri" w:cs="Calibri"/>
                          <w:b/>
                        </w:rPr>
                        <w:t>.</w:t>
                      </w:r>
                    </w:p>
                    <w:p w14:paraId="0644E132" w14:textId="77777777" w:rsidR="006A5868" w:rsidRPr="008E5291" w:rsidRDefault="006A5868" w:rsidP="00416B91">
                      <w:pPr>
                        <w:jc w:val="both"/>
                      </w:pPr>
                    </w:p>
                  </w:txbxContent>
                </v:textbox>
                <w10:anchorlock/>
              </v:shape>
            </w:pict>
          </mc:Fallback>
        </mc:AlternateContent>
      </w:r>
    </w:p>
    <w:p w14:paraId="4C2E48C1" w14:textId="2EC79BF9" w:rsidR="004C2E34" w:rsidRDefault="004C2E34" w:rsidP="004C2E34">
      <w:pPr>
        <w:jc w:val="both"/>
        <w:rPr>
          <w:rFonts w:ascii="Calibri" w:hAnsi="Calibri" w:cs="Calibri"/>
        </w:rPr>
      </w:pPr>
      <w:r w:rsidRPr="00767ADC">
        <w:rPr>
          <w:rFonts w:ascii="Calibri" w:hAnsi="Calibri" w:cs="Calibri"/>
        </w:rPr>
        <w:t xml:space="preserve">HMRC </w:t>
      </w:r>
      <w:r w:rsidR="00C23A2D">
        <w:rPr>
          <w:rFonts w:ascii="Calibri" w:hAnsi="Calibri" w:cs="Calibri"/>
        </w:rPr>
        <w:t xml:space="preserve">should </w:t>
      </w:r>
      <w:r w:rsidRPr="00767ADC">
        <w:rPr>
          <w:rFonts w:ascii="Calibri" w:hAnsi="Calibri" w:cs="Calibri"/>
        </w:rPr>
        <w:t xml:space="preserve">allow agents to register and self-certify plans on behalf of companies if authorised by the company </w:t>
      </w:r>
      <w:r w:rsidR="00FE238B">
        <w:rPr>
          <w:rFonts w:ascii="Calibri" w:hAnsi="Calibri" w:cs="Calibri"/>
        </w:rPr>
        <w:t>that</w:t>
      </w:r>
      <w:r w:rsidR="00FE238B" w:rsidRPr="00767ADC">
        <w:rPr>
          <w:rFonts w:ascii="Calibri" w:hAnsi="Calibri" w:cs="Calibri"/>
        </w:rPr>
        <w:t xml:space="preserve"> </w:t>
      </w:r>
      <w:r w:rsidRPr="00767ADC">
        <w:rPr>
          <w:rFonts w:ascii="Calibri" w:hAnsi="Calibri" w:cs="Calibri"/>
        </w:rPr>
        <w:t>established the plan. This would save time and resource, particularly for small and mid-size quoted companies. Likewise, agents should be able to de-register following a plan termination (e.g. takeover).</w:t>
      </w:r>
      <w:r w:rsidR="00AA5DE1" w:rsidRPr="00AA5DE1">
        <w:rPr>
          <w:rFonts w:ascii="Calibri" w:hAnsi="Calibri" w:cs="Calibri"/>
        </w:rPr>
        <w:t xml:space="preserve"> </w:t>
      </w:r>
      <w:r w:rsidR="00AA5DE1">
        <w:rPr>
          <w:rFonts w:ascii="Calibri" w:hAnsi="Calibri" w:cs="Calibri"/>
        </w:rPr>
        <w:t>In practice, we have seen that with a reduction in staff as part of a post-takeover reorganisation login details may be lost, making it difficult for companies to close a scheme.</w:t>
      </w:r>
      <w:r w:rsidR="00AA5DE1" w:rsidRPr="006078F9">
        <w:rPr>
          <w:rFonts w:ascii="Calibri" w:hAnsi="Calibri" w:cs="Calibri"/>
        </w:rPr>
        <w:t xml:space="preserve"> </w:t>
      </w:r>
      <w:r w:rsidRPr="00767ADC">
        <w:rPr>
          <w:rFonts w:ascii="Calibri" w:hAnsi="Calibri" w:cs="Calibri"/>
        </w:rPr>
        <w:t>ERS agents should be able to enter a plan termination date to close a plan registration (which at present can only be done by the company).</w:t>
      </w:r>
    </w:p>
    <w:p w14:paraId="26AA0482" w14:textId="77777777" w:rsidR="004C2E34" w:rsidRDefault="004C2E34" w:rsidP="004C2E34">
      <w:pPr>
        <w:jc w:val="both"/>
        <w:rPr>
          <w:rFonts w:ascii="Calibri" w:hAnsi="Calibri" w:cs="Calibri"/>
        </w:rPr>
      </w:pPr>
      <w:r w:rsidRPr="00767ADC">
        <w:rPr>
          <w:rFonts w:ascii="Calibri" w:hAnsi="Calibri" w:cs="Calibri"/>
        </w:rPr>
        <w:t>To this effect, the agent would need formal confirmation from the client that the statements in the return are true to the best of their knowledge and belief and that the agent submitting the return is merely an agent and not responsible for certifying the scheme. This would be similar to the confirmations used to authorise an adviser to deal with corporate tax issues; we believe that it should be relatively straightforward for HMRC to extend the procedure to the</w:t>
      </w:r>
      <w:r>
        <w:rPr>
          <w:rFonts w:ascii="Calibri" w:hAnsi="Calibri" w:cs="Calibri"/>
        </w:rPr>
        <w:t>se proposed agent arrangements.</w:t>
      </w:r>
    </w:p>
    <w:p w14:paraId="6C43F717" w14:textId="77777777" w:rsidR="00E612EF" w:rsidRPr="004C2E34" w:rsidRDefault="00E612EF" w:rsidP="00233725">
      <w:pPr>
        <w:pBdr>
          <w:top w:val="single" w:sz="4" w:space="1" w:color="auto"/>
        </w:pBdr>
        <w:spacing w:after="0"/>
        <w:jc w:val="both"/>
        <w:rPr>
          <w:rFonts w:ascii="Calibri" w:hAnsi="Calibri" w:cs="Calibri"/>
        </w:rPr>
      </w:pPr>
    </w:p>
    <w:p w14:paraId="10B2531B" w14:textId="01438C44" w:rsidR="00353788" w:rsidRDefault="00353788" w:rsidP="00F27B7A">
      <w:pPr>
        <w:pStyle w:val="Heading2"/>
        <w:numPr>
          <w:ilvl w:val="0"/>
          <w:numId w:val="32"/>
        </w:numPr>
        <w:spacing w:before="0" w:after="200"/>
        <w:ind w:left="426" w:hanging="426"/>
        <w:jc w:val="both"/>
        <w:rPr>
          <w:rFonts w:ascii="Calibri" w:hAnsi="Calibri"/>
          <w:color w:val="auto"/>
          <w:sz w:val="24"/>
        </w:rPr>
      </w:pPr>
      <w:bookmarkStart w:id="13" w:name="_Toc19093861"/>
      <w:r>
        <w:rPr>
          <w:rFonts w:ascii="Calibri" w:hAnsi="Calibri"/>
          <w:color w:val="auto"/>
          <w:sz w:val="24"/>
        </w:rPr>
        <w:t>Removing the requirement to obtain HMRC approval of the form of joint NIC elections used for employee share schemes</w:t>
      </w:r>
      <w:bookmarkEnd w:id="13"/>
    </w:p>
    <w:p w14:paraId="36E9E4B0" w14:textId="054DB6F4" w:rsidR="00353788" w:rsidRDefault="00353788" w:rsidP="00353788">
      <w:pPr>
        <w:jc w:val="both"/>
      </w:pPr>
      <w:r>
        <w:t>A further simplification would be to remove the need to obtain HMRC approval of the form of joint NIC elections used in connection with employee share plans</w:t>
      </w:r>
      <w:r w:rsidR="006D1A36">
        <w:t xml:space="preserve"> </w:t>
      </w:r>
      <w:r w:rsidR="006D1A36" w:rsidRPr="004051D8">
        <w:rPr>
          <w:color w:val="FF0000"/>
        </w:rPr>
        <w:t>where using HMRC’s standard form of elections [https://www.gov.uk/guidance/transfer-employers-national-insuarnce-to-employees]</w:t>
      </w:r>
      <w:r>
        <w:t xml:space="preserve">. This would free up HMRC resources and remove an administrative task for companies and advisers in connection with share plans.  </w:t>
      </w:r>
    </w:p>
    <w:p w14:paraId="5E3D0B6A" w14:textId="28C927A0" w:rsidR="00353788" w:rsidRDefault="00353788" w:rsidP="00353788">
      <w:pPr>
        <w:jc w:val="both"/>
      </w:pPr>
      <w:r>
        <w:t xml:space="preserve">We would suggest a process similar to that in place for section 431 elections be adopted. Provided that the NIC elections are in a published form which is acceptable to HMRC, the election could be used by the company and option holder without any need to obtain approval from HMRC. Details of awards (specifying whether an NIC election has been entered into) would continue to be included in the end of year annual return. </w:t>
      </w:r>
    </w:p>
    <w:p w14:paraId="29C89E2B" w14:textId="77777777" w:rsidR="00E612EF" w:rsidRPr="00E0233C" w:rsidRDefault="00E612EF" w:rsidP="00233725">
      <w:pPr>
        <w:pBdr>
          <w:top w:val="single" w:sz="4" w:space="1" w:color="auto"/>
        </w:pBdr>
        <w:spacing w:after="0"/>
        <w:jc w:val="both"/>
      </w:pPr>
    </w:p>
    <w:p w14:paraId="637BB462" w14:textId="4DD6D598" w:rsidR="00991742" w:rsidRPr="003A6C28" w:rsidRDefault="009A5E76" w:rsidP="00F27B7A">
      <w:pPr>
        <w:pStyle w:val="Heading2"/>
        <w:numPr>
          <w:ilvl w:val="0"/>
          <w:numId w:val="32"/>
        </w:numPr>
        <w:spacing w:before="0" w:after="200"/>
        <w:ind w:left="426" w:hanging="426"/>
        <w:jc w:val="both"/>
        <w:rPr>
          <w:rFonts w:ascii="Calibri" w:hAnsi="Calibri"/>
          <w:color w:val="auto"/>
          <w:sz w:val="24"/>
        </w:rPr>
      </w:pPr>
      <w:bookmarkStart w:id="14" w:name="_Toc19093862"/>
      <w:r w:rsidRPr="00583E47">
        <w:rPr>
          <w:rFonts w:ascii="Calibri" w:hAnsi="Calibri"/>
          <w:color w:val="FF0000"/>
          <w:sz w:val="24"/>
        </w:rPr>
        <w:t xml:space="preserve">Simplifying </w:t>
      </w:r>
      <w:r w:rsidR="004338A9">
        <w:rPr>
          <w:rFonts w:ascii="Calibri" w:hAnsi="Calibri"/>
          <w:color w:val="auto"/>
          <w:sz w:val="24"/>
        </w:rPr>
        <w:t>the w</w:t>
      </w:r>
      <w:r w:rsidR="00991742" w:rsidRPr="003A6C28">
        <w:rPr>
          <w:rFonts w:ascii="Calibri" w:hAnsi="Calibri"/>
          <w:color w:val="auto"/>
          <w:sz w:val="24"/>
        </w:rPr>
        <w:t>ithholding tax regime</w:t>
      </w:r>
      <w:bookmarkEnd w:id="14"/>
    </w:p>
    <w:p w14:paraId="1BC4068B" w14:textId="77777777" w:rsidR="008948D6" w:rsidRPr="008948D6" w:rsidRDefault="004C2E34" w:rsidP="00232B66">
      <w:pPr>
        <w:jc w:val="both"/>
        <w:rPr>
          <w:rFonts w:ascii="Calibri" w:hAnsi="Calibri" w:cs="Calibri"/>
        </w:rPr>
      </w:pPr>
      <w:r>
        <w:rPr>
          <w:rFonts w:ascii="Calibri" w:hAnsi="Calibri" w:cs="Calibri"/>
        </w:rPr>
        <w:t>We believe that f</w:t>
      </w:r>
      <w:r w:rsidR="008948D6" w:rsidRPr="008948D6">
        <w:rPr>
          <w:rFonts w:ascii="Calibri" w:hAnsi="Calibri" w:cs="Calibri"/>
        </w:rPr>
        <w:t xml:space="preserve">urther simplification benefits could also be obtained from extending the treatment set out at Section 911 of Income Tax Act 2007, which applies to withholding taxes on royalties paid by a UK person who reasonably believes, at the time the payment is made, that the payee is entitled to relief in respect of </w:t>
      </w:r>
      <w:r w:rsidR="008948D6" w:rsidRPr="008948D6">
        <w:rPr>
          <w:rFonts w:ascii="Calibri" w:hAnsi="Calibri" w:cs="Calibri"/>
        </w:rPr>
        <w:lastRenderedPageBreak/>
        <w:t>the payment under double taxation arrangements. This treatment could also be applied to interest payments made in situations where the double taxation treaty passport scheme is not in operation.</w:t>
      </w:r>
    </w:p>
    <w:p w14:paraId="4A3BCE66" w14:textId="77777777" w:rsidR="008948D6" w:rsidRDefault="008948D6" w:rsidP="00232B66">
      <w:pPr>
        <w:jc w:val="both"/>
        <w:rPr>
          <w:rFonts w:ascii="Calibri" w:hAnsi="Calibri" w:cs="Calibri"/>
          <w:b/>
        </w:rPr>
      </w:pPr>
      <w:r w:rsidRPr="006708B7">
        <w:rPr>
          <w:rFonts w:ascii="Calibri" w:hAnsi="Calibri" w:cs="Calibri"/>
          <w:b/>
        </w:rPr>
        <w:t>We propose the introduction of new rules which allow UK persons to make interest payments gross or at treaty rates where the person reasonably believes, at the time the payment is made, that the payee is entitled to relief in respect of the payment under double taxation arrangements.</w:t>
      </w:r>
    </w:p>
    <w:p w14:paraId="55D4808C" w14:textId="77777777" w:rsidR="00E612EF" w:rsidRDefault="00E612EF" w:rsidP="00233725">
      <w:pPr>
        <w:pBdr>
          <w:top w:val="single" w:sz="4" w:space="1" w:color="auto"/>
        </w:pBdr>
        <w:spacing w:after="0"/>
        <w:jc w:val="both"/>
        <w:rPr>
          <w:rFonts w:ascii="Calibri" w:hAnsi="Calibri" w:cs="Calibri"/>
          <w:b/>
        </w:rPr>
      </w:pPr>
    </w:p>
    <w:p w14:paraId="317D8DB3" w14:textId="77777777" w:rsidR="002D7C4F" w:rsidRDefault="002D7C4F" w:rsidP="00233725">
      <w:pPr>
        <w:pBdr>
          <w:top w:val="single" w:sz="4" w:space="1" w:color="auto"/>
        </w:pBdr>
        <w:spacing w:after="0"/>
        <w:jc w:val="both"/>
        <w:rPr>
          <w:rFonts w:ascii="Calibri" w:hAnsi="Calibri" w:cs="Calibri"/>
          <w:b/>
        </w:rPr>
      </w:pPr>
    </w:p>
    <w:p w14:paraId="61BD181C" w14:textId="77777777" w:rsidR="002D7C4F" w:rsidRDefault="002D7C4F" w:rsidP="00233725">
      <w:pPr>
        <w:pBdr>
          <w:top w:val="single" w:sz="4" w:space="1" w:color="auto"/>
        </w:pBdr>
        <w:spacing w:after="0"/>
        <w:jc w:val="both"/>
        <w:rPr>
          <w:rFonts w:ascii="Calibri" w:hAnsi="Calibri" w:cs="Calibri"/>
          <w:b/>
        </w:rPr>
      </w:pPr>
    </w:p>
    <w:p w14:paraId="2E52C7AF" w14:textId="77777777" w:rsidR="002D7C4F" w:rsidRDefault="002D7C4F" w:rsidP="00233725">
      <w:pPr>
        <w:pBdr>
          <w:top w:val="single" w:sz="4" w:space="1" w:color="auto"/>
        </w:pBdr>
        <w:spacing w:after="0"/>
        <w:jc w:val="both"/>
        <w:rPr>
          <w:rFonts w:ascii="Calibri" w:hAnsi="Calibri" w:cs="Calibri"/>
          <w:b/>
        </w:rPr>
      </w:pPr>
    </w:p>
    <w:p w14:paraId="38C3526D" w14:textId="77777777" w:rsidR="002D7C4F" w:rsidRDefault="002D7C4F" w:rsidP="00233725">
      <w:pPr>
        <w:pBdr>
          <w:top w:val="single" w:sz="4" w:space="1" w:color="auto"/>
        </w:pBdr>
        <w:spacing w:after="0"/>
        <w:jc w:val="both"/>
        <w:rPr>
          <w:rFonts w:ascii="Calibri" w:hAnsi="Calibri" w:cs="Calibri"/>
          <w:b/>
        </w:rPr>
      </w:pPr>
    </w:p>
    <w:p w14:paraId="383DEEDF" w14:textId="77777777" w:rsidR="002D7C4F" w:rsidRDefault="002D7C4F" w:rsidP="00233725">
      <w:pPr>
        <w:pBdr>
          <w:top w:val="single" w:sz="4" w:space="1" w:color="auto"/>
        </w:pBdr>
        <w:spacing w:after="0"/>
        <w:jc w:val="both"/>
        <w:rPr>
          <w:rFonts w:ascii="Calibri" w:hAnsi="Calibri" w:cs="Calibri"/>
          <w:b/>
        </w:rPr>
      </w:pPr>
    </w:p>
    <w:p w14:paraId="608A6E32" w14:textId="77777777" w:rsidR="002D7C4F" w:rsidRDefault="002D7C4F" w:rsidP="00233725">
      <w:pPr>
        <w:pBdr>
          <w:top w:val="single" w:sz="4" w:space="1" w:color="auto"/>
        </w:pBdr>
        <w:spacing w:after="0"/>
        <w:jc w:val="both"/>
        <w:rPr>
          <w:rFonts w:ascii="Calibri" w:hAnsi="Calibri" w:cs="Calibri"/>
          <w:b/>
        </w:rPr>
      </w:pPr>
    </w:p>
    <w:p w14:paraId="39B2641C" w14:textId="77777777" w:rsidR="002D7C4F" w:rsidRDefault="002D7C4F" w:rsidP="00233725">
      <w:pPr>
        <w:pBdr>
          <w:top w:val="single" w:sz="4" w:space="1" w:color="auto"/>
        </w:pBdr>
        <w:spacing w:after="0"/>
        <w:jc w:val="both"/>
        <w:rPr>
          <w:rFonts w:ascii="Calibri" w:hAnsi="Calibri" w:cs="Calibri"/>
          <w:b/>
        </w:rPr>
      </w:pPr>
    </w:p>
    <w:p w14:paraId="0BB747E3" w14:textId="77777777" w:rsidR="002D7C4F" w:rsidRDefault="002D7C4F" w:rsidP="00233725">
      <w:pPr>
        <w:pBdr>
          <w:top w:val="single" w:sz="4" w:space="1" w:color="auto"/>
        </w:pBdr>
        <w:spacing w:after="0"/>
        <w:jc w:val="both"/>
        <w:rPr>
          <w:rFonts w:ascii="Calibri" w:hAnsi="Calibri" w:cs="Calibri"/>
          <w:b/>
        </w:rPr>
      </w:pPr>
    </w:p>
    <w:p w14:paraId="7440925D" w14:textId="77777777" w:rsidR="002D7C4F" w:rsidRDefault="002D7C4F" w:rsidP="00233725">
      <w:pPr>
        <w:pBdr>
          <w:top w:val="single" w:sz="4" w:space="1" w:color="auto"/>
        </w:pBdr>
        <w:spacing w:after="0"/>
        <w:jc w:val="both"/>
        <w:rPr>
          <w:rFonts w:ascii="Calibri" w:hAnsi="Calibri" w:cs="Calibri"/>
          <w:b/>
        </w:rPr>
      </w:pPr>
    </w:p>
    <w:p w14:paraId="6C3C0154" w14:textId="77777777" w:rsidR="002D7C4F" w:rsidRDefault="002D7C4F" w:rsidP="00233725">
      <w:pPr>
        <w:pBdr>
          <w:top w:val="single" w:sz="4" w:space="1" w:color="auto"/>
        </w:pBdr>
        <w:spacing w:after="0"/>
        <w:jc w:val="both"/>
        <w:rPr>
          <w:rFonts w:ascii="Calibri" w:hAnsi="Calibri" w:cs="Calibri"/>
          <w:b/>
        </w:rPr>
      </w:pPr>
    </w:p>
    <w:p w14:paraId="550BE3FB" w14:textId="77777777" w:rsidR="002D7C4F" w:rsidRDefault="002D7C4F" w:rsidP="00233725">
      <w:pPr>
        <w:pBdr>
          <w:top w:val="single" w:sz="4" w:space="1" w:color="auto"/>
        </w:pBdr>
        <w:spacing w:after="0"/>
        <w:jc w:val="both"/>
        <w:rPr>
          <w:rFonts w:ascii="Calibri" w:hAnsi="Calibri" w:cs="Calibri"/>
          <w:b/>
        </w:rPr>
      </w:pPr>
    </w:p>
    <w:p w14:paraId="443606C0" w14:textId="77777777" w:rsidR="002D7C4F" w:rsidRDefault="002D7C4F" w:rsidP="00233725">
      <w:pPr>
        <w:pBdr>
          <w:top w:val="single" w:sz="4" w:space="1" w:color="auto"/>
        </w:pBdr>
        <w:spacing w:after="0"/>
        <w:jc w:val="both"/>
        <w:rPr>
          <w:rFonts w:ascii="Calibri" w:hAnsi="Calibri" w:cs="Calibri"/>
          <w:b/>
        </w:rPr>
      </w:pPr>
    </w:p>
    <w:p w14:paraId="0480F4A2" w14:textId="77777777" w:rsidR="002D7C4F" w:rsidRDefault="002D7C4F" w:rsidP="00233725">
      <w:pPr>
        <w:pBdr>
          <w:top w:val="single" w:sz="4" w:space="1" w:color="auto"/>
        </w:pBdr>
        <w:spacing w:after="0"/>
        <w:jc w:val="both"/>
        <w:rPr>
          <w:rFonts w:ascii="Calibri" w:hAnsi="Calibri" w:cs="Calibri"/>
          <w:b/>
        </w:rPr>
      </w:pPr>
    </w:p>
    <w:p w14:paraId="4059D9CD" w14:textId="77777777" w:rsidR="002D7C4F" w:rsidRDefault="002D7C4F" w:rsidP="00233725">
      <w:pPr>
        <w:pBdr>
          <w:top w:val="single" w:sz="4" w:space="1" w:color="auto"/>
        </w:pBdr>
        <w:spacing w:after="0"/>
        <w:jc w:val="both"/>
        <w:rPr>
          <w:rFonts w:ascii="Calibri" w:hAnsi="Calibri" w:cs="Calibri"/>
          <w:b/>
        </w:rPr>
      </w:pPr>
    </w:p>
    <w:p w14:paraId="4FDEB27E" w14:textId="77777777" w:rsidR="002D7C4F" w:rsidRDefault="002D7C4F" w:rsidP="00233725">
      <w:pPr>
        <w:pBdr>
          <w:top w:val="single" w:sz="4" w:space="1" w:color="auto"/>
        </w:pBdr>
        <w:spacing w:after="0"/>
        <w:jc w:val="both"/>
        <w:rPr>
          <w:rFonts w:ascii="Calibri" w:hAnsi="Calibri" w:cs="Calibri"/>
          <w:b/>
        </w:rPr>
      </w:pPr>
    </w:p>
    <w:p w14:paraId="35B26813" w14:textId="77777777" w:rsidR="002D7C4F" w:rsidRDefault="002D7C4F" w:rsidP="00233725">
      <w:pPr>
        <w:pBdr>
          <w:top w:val="single" w:sz="4" w:space="1" w:color="auto"/>
        </w:pBdr>
        <w:spacing w:after="0"/>
        <w:jc w:val="both"/>
        <w:rPr>
          <w:rFonts w:ascii="Calibri" w:hAnsi="Calibri" w:cs="Calibri"/>
          <w:b/>
        </w:rPr>
      </w:pPr>
    </w:p>
    <w:p w14:paraId="184F7E6A" w14:textId="77777777" w:rsidR="002D7C4F" w:rsidRDefault="002D7C4F" w:rsidP="00233725">
      <w:pPr>
        <w:pBdr>
          <w:top w:val="single" w:sz="4" w:space="1" w:color="auto"/>
        </w:pBdr>
        <w:spacing w:after="0"/>
        <w:jc w:val="both"/>
        <w:rPr>
          <w:rFonts w:ascii="Calibri" w:hAnsi="Calibri" w:cs="Calibri"/>
          <w:b/>
        </w:rPr>
      </w:pPr>
    </w:p>
    <w:p w14:paraId="3CB1765C" w14:textId="77777777" w:rsidR="002D7C4F" w:rsidRDefault="002D7C4F" w:rsidP="00233725">
      <w:pPr>
        <w:pBdr>
          <w:top w:val="single" w:sz="4" w:space="1" w:color="auto"/>
        </w:pBdr>
        <w:spacing w:after="0"/>
        <w:jc w:val="both"/>
        <w:rPr>
          <w:rFonts w:ascii="Calibri" w:hAnsi="Calibri" w:cs="Calibri"/>
          <w:b/>
        </w:rPr>
      </w:pPr>
    </w:p>
    <w:p w14:paraId="7F1676B1" w14:textId="77777777" w:rsidR="002D7C4F" w:rsidRDefault="002D7C4F" w:rsidP="00233725">
      <w:pPr>
        <w:pBdr>
          <w:top w:val="single" w:sz="4" w:space="1" w:color="auto"/>
        </w:pBdr>
        <w:spacing w:after="0"/>
        <w:jc w:val="both"/>
        <w:rPr>
          <w:rFonts w:ascii="Calibri" w:hAnsi="Calibri" w:cs="Calibri"/>
          <w:b/>
        </w:rPr>
      </w:pPr>
    </w:p>
    <w:p w14:paraId="1BD46B40" w14:textId="77777777" w:rsidR="002D7C4F" w:rsidRDefault="002D7C4F" w:rsidP="00233725">
      <w:pPr>
        <w:pBdr>
          <w:top w:val="single" w:sz="4" w:space="1" w:color="auto"/>
        </w:pBdr>
        <w:spacing w:after="0"/>
        <w:jc w:val="both"/>
        <w:rPr>
          <w:rFonts w:ascii="Calibri" w:hAnsi="Calibri" w:cs="Calibri"/>
          <w:b/>
        </w:rPr>
      </w:pPr>
    </w:p>
    <w:p w14:paraId="3F232EF9" w14:textId="77777777" w:rsidR="002D7C4F" w:rsidRDefault="002D7C4F" w:rsidP="00233725">
      <w:pPr>
        <w:pBdr>
          <w:top w:val="single" w:sz="4" w:space="1" w:color="auto"/>
        </w:pBdr>
        <w:spacing w:after="0"/>
        <w:jc w:val="both"/>
        <w:rPr>
          <w:rFonts w:ascii="Calibri" w:hAnsi="Calibri" w:cs="Calibri"/>
          <w:b/>
        </w:rPr>
      </w:pPr>
    </w:p>
    <w:p w14:paraId="43CDCD30" w14:textId="77777777" w:rsidR="002D7C4F" w:rsidRDefault="002D7C4F" w:rsidP="00233725">
      <w:pPr>
        <w:pBdr>
          <w:top w:val="single" w:sz="4" w:space="1" w:color="auto"/>
        </w:pBdr>
        <w:spacing w:after="0"/>
        <w:jc w:val="both"/>
        <w:rPr>
          <w:rFonts w:ascii="Calibri" w:hAnsi="Calibri" w:cs="Calibri"/>
          <w:b/>
        </w:rPr>
      </w:pPr>
    </w:p>
    <w:p w14:paraId="49459642" w14:textId="77777777" w:rsidR="002D7C4F" w:rsidRDefault="002D7C4F" w:rsidP="00233725">
      <w:pPr>
        <w:pBdr>
          <w:top w:val="single" w:sz="4" w:space="1" w:color="auto"/>
        </w:pBdr>
        <w:spacing w:after="0"/>
        <w:jc w:val="both"/>
        <w:rPr>
          <w:rFonts w:ascii="Calibri" w:hAnsi="Calibri" w:cs="Calibri"/>
          <w:b/>
        </w:rPr>
      </w:pPr>
    </w:p>
    <w:p w14:paraId="0DA24A6E" w14:textId="77777777" w:rsidR="002D7C4F" w:rsidRDefault="002D7C4F" w:rsidP="00233725">
      <w:pPr>
        <w:pBdr>
          <w:top w:val="single" w:sz="4" w:space="1" w:color="auto"/>
        </w:pBdr>
        <w:spacing w:after="0"/>
        <w:jc w:val="both"/>
        <w:rPr>
          <w:rFonts w:ascii="Calibri" w:hAnsi="Calibri" w:cs="Calibri"/>
          <w:b/>
        </w:rPr>
      </w:pPr>
    </w:p>
    <w:p w14:paraId="260E1962" w14:textId="77777777" w:rsidR="002D7C4F" w:rsidRDefault="002D7C4F" w:rsidP="00233725">
      <w:pPr>
        <w:pBdr>
          <w:top w:val="single" w:sz="4" w:space="1" w:color="auto"/>
        </w:pBdr>
        <w:spacing w:after="0"/>
        <w:jc w:val="both"/>
        <w:rPr>
          <w:rFonts w:ascii="Calibri" w:hAnsi="Calibri" w:cs="Calibri"/>
          <w:b/>
        </w:rPr>
      </w:pPr>
    </w:p>
    <w:p w14:paraId="05F079A8" w14:textId="77777777" w:rsidR="002D7C4F" w:rsidRDefault="002D7C4F" w:rsidP="00233725">
      <w:pPr>
        <w:pBdr>
          <w:top w:val="single" w:sz="4" w:space="1" w:color="auto"/>
        </w:pBdr>
        <w:spacing w:after="0"/>
        <w:jc w:val="both"/>
        <w:rPr>
          <w:rFonts w:ascii="Calibri" w:hAnsi="Calibri" w:cs="Calibri"/>
          <w:b/>
        </w:rPr>
      </w:pPr>
    </w:p>
    <w:p w14:paraId="7577C638" w14:textId="77777777" w:rsidR="002D7C4F" w:rsidRDefault="002D7C4F" w:rsidP="00233725">
      <w:pPr>
        <w:pBdr>
          <w:top w:val="single" w:sz="4" w:space="1" w:color="auto"/>
        </w:pBdr>
        <w:spacing w:after="0"/>
        <w:jc w:val="both"/>
        <w:rPr>
          <w:rFonts w:ascii="Calibri" w:hAnsi="Calibri" w:cs="Calibri"/>
          <w:b/>
        </w:rPr>
      </w:pPr>
    </w:p>
    <w:p w14:paraId="0EFC4849" w14:textId="77777777" w:rsidR="002D7C4F" w:rsidRDefault="002D7C4F" w:rsidP="00233725">
      <w:pPr>
        <w:pBdr>
          <w:top w:val="single" w:sz="4" w:space="1" w:color="auto"/>
        </w:pBdr>
        <w:spacing w:after="0"/>
        <w:jc w:val="both"/>
        <w:rPr>
          <w:rFonts w:ascii="Calibri" w:hAnsi="Calibri" w:cs="Calibri"/>
          <w:b/>
        </w:rPr>
      </w:pPr>
    </w:p>
    <w:p w14:paraId="7F6DC865" w14:textId="77777777" w:rsidR="002D7C4F" w:rsidRDefault="002D7C4F" w:rsidP="00233725">
      <w:pPr>
        <w:pBdr>
          <w:top w:val="single" w:sz="4" w:space="1" w:color="auto"/>
        </w:pBdr>
        <w:spacing w:after="0"/>
        <w:jc w:val="both"/>
        <w:rPr>
          <w:rFonts w:ascii="Calibri" w:hAnsi="Calibri" w:cs="Calibri"/>
          <w:b/>
        </w:rPr>
      </w:pPr>
    </w:p>
    <w:p w14:paraId="31ADCD84" w14:textId="77777777" w:rsidR="002D7C4F" w:rsidRDefault="002D7C4F" w:rsidP="00233725">
      <w:pPr>
        <w:pBdr>
          <w:top w:val="single" w:sz="4" w:space="1" w:color="auto"/>
        </w:pBdr>
        <w:spacing w:after="0"/>
        <w:jc w:val="both"/>
        <w:rPr>
          <w:rFonts w:ascii="Calibri" w:hAnsi="Calibri" w:cs="Calibri"/>
          <w:b/>
        </w:rPr>
      </w:pPr>
    </w:p>
    <w:p w14:paraId="73B2207C" w14:textId="77777777" w:rsidR="002D7C4F" w:rsidRDefault="002D7C4F" w:rsidP="00233725">
      <w:pPr>
        <w:pBdr>
          <w:top w:val="single" w:sz="4" w:space="1" w:color="auto"/>
        </w:pBdr>
        <w:spacing w:after="0"/>
        <w:jc w:val="both"/>
        <w:rPr>
          <w:rFonts w:ascii="Calibri" w:hAnsi="Calibri" w:cs="Calibri"/>
          <w:b/>
        </w:rPr>
      </w:pPr>
    </w:p>
    <w:p w14:paraId="13952598" w14:textId="77777777" w:rsidR="002D7C4F" w:rsidRDefault="002D7C4F" w:rsidP="00233725">
      <w:pPr>
        <w:pBdr>
          <w:top w:val="single" w:sz="4" w:space="1" w:color="auto"/>
        </w:pBdr>
        <w:spacing w:after="0"/>
        <w:jc w:val="both"/>
        <w:rPr>
          <w:rFonts w:ascii="Calibri" w:hAnsi="Calibri" w:cs="Calibri"/>
          <w:b/>
        </w:rPr>
      </w:pPr>
    </w:p>
    <w:p w14:paraId="5BCFE519" w14:textId="77777777" w:rsidR="002D7C4F" w:rsidRDefault="002D7C4F" w:rsidP="00233725">
      <w:pPr>
        <w:pBdr>
          <w:top w:val="single" w:sz="4" w:space="1" w:color="auto"/>
        </w:pBdr>
        <w:spacing w:after="0"/>
        <w:jc w:val="both"/>
        <w:rPr>
          <w:rFonts w:ascii="Calibri" w:hAnsi="Calibri" w:cs="Calibri"/>
          <w:b/>
        </w:rPr>
      </w:pPr>
    </w:p>
    <w:p w14:paraId="5194E8B7" w14:textId="77777777" w:rsidR="002D7C4F" w:rsidRDefault="002D7C4F" w:rsidP="00233725">
      <w:pPr>
        <w:pBdr>
          <w:top w:val="single" w:sz="4" w:space="1" w:color="auto"/>
        </w:pBdr>
        <w:spacing w:after="0"/>
        <w:jc w:val="both"/>
        <w:rPr>
          <w:rFonts w:ascii="Calibri" w:hAnsi="Calibri" w:cs="Calibri"/>
          <w:b/>
        </w:rPr>
      </w:pPr>
    </w:p>
    <w:p w14:paraId="58B09F41" w14:textId="77777777" w:rsidR="002D7C4F" w:rsidRDefault="002D7C4F" w:rsidP="00233725">
      <w:pPr>
        <w:pBdr>
          <w:top w:val="single" w:sz="4" w:space="1" w:color="auto"/>
        </w:pBdr>
        <w:spacing w:after="0"/>
        <w:jc w:val="both"/>
        <w:rPr>
          <w:rFonts w:ascii="Calibri" w:hAnsi="Calibri" w:cs="Calibri"/>
          <w:b/>
        </w:rPr>
      </w:pPr>
    </w:p>
    <w:p w14:paraId="0ADA543D" w14:textId="77777777" w:rsidR="002D7C4F" w:rsidRDefault="002D7C4F" w:rsidP="00233725">
      <w:pPr>
        <w:pBdr>
          <w:top w:val="single" w:sz="4" w:space="1" w:color="auto"/>
        </w:pBdr>
        <w:spacing w:after="0"/>
        <w:jc w:val="both"/>
        <w:rPr>
          <w:rFonts w:ascii="Calibri" w:hAnsi="Calibri" w:cs="Calibri"/>
          <w:b/>
        </w:rPr>
      </w:pPr>
    </w:p>
    <w:p w14:paraId="74DE508B" w14:textId="77777777" w:rsidR="002D7C4F" w:rsidRDefault="002D7C4F" w:rsidP="00233725">
      <w:pPr>
        <w:pBdr>
          <w:top w:val="single" w:sz="4" w:space="1" w:color="auto"/>
        </w:pBdr>
        <w:spacing w:after="0"/>
        <w:jc w:val="both"/>
        <w:rPr>
          <w:rFonts w:ascii="Calibri" w:hAnsi="Calibri" w:cs="Calibri"/>
          <w:b/>
        </w:rPr>
      </w:pPr>
    </w:p>
    <w:p w14:paraId="0FC4E108" w14:textId="77777777" w:rsidR="002D7C4F" w:rsidRPr="006708B7" w:rsidRDefault="002D7C4F" w:rsidP="00233725">
      <w:pPr>
        <w:pBdr>
          <w:top w:val="single" w:sz="4" w:space="1" w:color="auto"/>
        </w:pBdr>
        <w:spacing w:after="0"/>
        <w:jc w:val="both"/>
        <w:rPr>
          <w:rFonts w:ascii="Calibri" w:hAnsi="Calibri" w:cs="Calibri"/>
          <w:b/>
        </w:rPr>
      </w:pPr>
    </w:p>
    <w:p w14:paraId="39A9D93E" w14:textId="77777777" w:rsidR="00630A39" w:rsidRPr="005A64FF" w:rsidRDefault="00E56448" w:rsidP="001113EE">
      <w:pPr>
        <w:pStyle w:val="Heading1"/>
        <w:numPr>
          <w:ilvl w:val="0"/>
          <w:numId w:val="1"/>
        </w:numPr>
        <w:spacing w:before="0" w:after="200"/>
        <w:ind w:left="567" w:hanging="283"/>
        <w:jc w:val="both"/>
        <w:rPr>
          <w:rFonts w:ascii="Calibri" w:hAnsi="Calibri"/>
          <w:color w:val="auto"/>
          <w:u w:val="single"/>
        </w:rPr>
      </w:pPr>
      <w:bookmarkStart w:id="15" w:name="_Toc19093863"/>
      <w:r w:rsidRPr="005A64FF">
        <w:rPr>
          <w:rFonts w:ascii="Calibri" w:hAnsi="Calibri"/>
          <w:color w:val="auto"/>
          <w:u w:val="single"/>
        </w:rPr>
        <w:lastRenderedPageBreak/>
        <w:t>Building</w:t>
      </w:r>
      <w:r w:rsidR="00F72A74" w:rsidRPr="005A64FF">
        <w:rPr>
          <w:rFonts w:ascii="Calibri" w:hAnsi="Calibri"/>
          <w:color w:val="auto"/>
          <w:u w:val="single"/>
        </w:rPr>
        <w:t xml:space="preserve"> certainty in</w:t>
      </w:r>
      <w:r w:rsidRPr="005A64FF">
        <w:rPr>
          <w:rFonts w:ascii="Calibri" w:hAnsi="Calibri"/>
          <w:color w:val="auto"/>
          <w:u w:val="single"/>
        </w:rPr>
        <w:t>to</w:t>
      </w:r>
      <w:r w:rsidR="00F72A74" w:rsidRPr="005A64FF">
        <w:rPr>
          <w:rFonts w:ascii="Calibri" w:hAnsi="Calibri"/>
          <w:color w:val="auto"/>
          <w:u w:val="single"/>
        </w:rPr>
        <w:t xml:space="preserve"> the tax system</w:t>
      </w:r>
      <w:bookmarkEnd w:id="15"/>
    </w:p>
    <w:p w14:paraId="43FFEDD3" w14:textId="77777777" w:rsidR="00133595" w:rsidRDefault="00EC127E" w:rsidP="008559C8">
      <w:pPr>
        <w:jc w:val="both"/>
        <w:rPr>
          <w:rFonts w:ascii="Calibri" w:hAnsi="Calibri"/>
        </w:rPr>
      </w:pPr>
      <w:r>
        <w:t>Certainty is an undervalued</w:t>
      </w:r>
      <w:r w:rsidR="00DE3D42">
        <w:t xml:space="preserve">, yet </w:t>
      </w:r>
      <w:r w:rsidR="00133595">
        <w:t>crucial</w:t>
      </w:r>
      <w:r w:rsidR="00DE3D42">
        <w:t xml:space="preserve">, </w:t>
      </w:r>
      <w:r w:rsidR="00281BC1">
        <w:t xml:space="preserve">attribute </w:t>
      </w:r>
      <w:r>
        <w:t>to a</w:t>
      </w:r>
      <w:r w:rsidR="00281BC1">
        <w:t xml:space="preserve"> successful </w:t>
      </w:r>
      <w:r>
        <w:t xml:space="preserve">tax system. </w:t>
      </w:r>
      <w:r w:rsidR="00DE3D42">
        <w:t>W</w:t>
      </w:r>
      <w:r>
        <w:t xml:space="preserve">ithout it, companies </w:t>
      </w:r>
      <w:r w:rsidR="00DE3D42">
        <w:t>of all</w:t>
      </w:r>
      <w:r>
        <w:t xml:space="preserve"> size</w:t>
      </w:r>
      <w:r w:rsidR="00DE3D42">
        <w:t>s</w:t>
      </w:r>
      <w:r>
        <w:t xml:space="preserve"> are unable to </w:t>
      </w:r>
      <w:r>
        <w:rPr>
          <w:rFonts w:ascii="Calibri" w:hAnsi="Calibri"/>
        </w:rPr>
        <w:t xml:space="preserve">effectively </w:t>
      </w:r>
      <w:r w:rsidR="00133595">
        <w:rPr>
          <w:rFonts w:ascii="Calibri" w:hAnsi="Calibri"/>
        </w:rPr>
        <w:t xml:space="preserve">and confidently </w:t>
      </w:r>
      <w:r w:rsidRPr="005B3224">
        <w:rPr>
          <w:rFonts w:ascii="Calibri" w:hAnsi="Calibri"/>
        </w:rPr>
        <w:t>plan</w:t>
      </w:r>
      <w:r>
        <w:rPr>
          <w:rFonts w:ascii="Calibri" w:hAnsi="Calibri"/>
        </w:rPr>
        <w:t xml:space="preserve"> for</w:t>
      </w:r>
      <w:r w:rsidRPr="005B3224">
        <w:rPr>
          <w:rFonts w:ascii="Calibri" w:hAnsi="Calibri"/>
        </w:rPr>
        <w:t xml:space="preserve"> their</w:t>
      </w:r>
      <w:r>
        <w:rPr>
          <w:rFonts w:ascii="Calibri" w:hAnsi="Calibri"/>
        </w:rPr>
        <w:t xml:space="preserve"> future</w:t>
      </w:r>
      <w:r w:rsidRPr="005B3224">
        <w:rPr>
          <w:rFonts w:ascii="Calibri" w:hAnsi="Calibri"/>
        </w:rPr>
        <w:t xml:space="preserve"> development</w:t>
      </w:r>
      <w:r>
        <w:rPr>
          <w:rFonts w:ascii="Calibri" w:hAnsi="Calibri"/>
        </w:rPr>
        <w:t xml:space="preserve">. Where uncertainty </w:t>
      </w:r>
      <w:r w:rsidR="00281BC1">
        <w:rPr>
          <w:rFonts w:ascii="Calibri" w:hAnsi="Calibri"/>
        </w:rPr>
        <w:t xml:space="preserve">exists in </w:t>
      </w:r>
      <w:r>
        <w:rPr>
          <w:rFonts w:ascii="Calibri" w:hAnsi="Calibri"/>
        </w:rPr>
        <w:t xml:space="preserve">a tax system, companies are </w:t>
      </w:r>
      <w:r w:rsidR="00986551">
        <w:rPr>
          <w:rFonts w:ascii="Calibri" w:hAnsi="Calibri"/>
        </w:rPr>
        <w:t xml:space="preserve">far more </w:t>
      </w:r>
      <w:r>
        <w:rPr>
          <w:rFonts w:ascii="Calibri" w:hAnsi="Calibri"/>
        </w:rPr>
        <w:t xml:space="preserve">likely to </w:t>
      </w:r>
      <w:r w:rsidR="00F577D1">
        <w:rPr>
          <w:rFonts w:ascii="Calibri" w:hAnsi="Calibri"/>
        </w:rPr>
        <w:t>defer, or abandon altogether, plans to</w:t>
      </w:r>
      <w:r>
        <w:rPr>
          <w:rFonts w:ascii="Calibri" w:hAnsi="Calibri"/>
        </w:rPr>
        <w:t xml:space="preserve"> deploy funds to finance crucial investments that could grow their business, boost economic growth and create employment opportunities. </w:t>
      </w:r>
    </w:p>
    <w:p w14:paraId="4C538A5F" w14:textId="77777777" w:rsidR="009F459E" w:rsidRDefault="00133595" w:rsidP="009F459E">
      <w:pPr>
        <w:jc w:val="both"/>
      </w:pPr>
      <w:r>
        <w:rPr>
          <w:rFonts w:ascii="Calibri" w:hAnsi="Calibri"/>
        </w:rPr>
        <w:t>At the same time, increasing certainty in the tax system will decrease the number of</w:t>
      </w:r>
      <w:r w:rsidR="00EC127E">
        <w:rPr>
          <w:rFonts w:ascii="Calibri" w:hAnsi="Calibri"/>
        </w:rPr>
        <w:t xml:space="preserve"> disputes between companies and HMRC</w:t>
      </w:r>
      <w:r>
        <w:rPr>
          <w:rFonts w:ascii="Calibri" w:hAnsi="Calibri"/>
        </w:rPr>
        <w:t>,</w:t>
      </w:r>
      <w:r w:rsidR="00EC127E">
        <w:rPr>
          <w:rFonts w:ascii="Calibri" w:hAnsi="Calibri"/>
        </w:rPr>
        <w:t xml:space="preserve"> </w:t>
      </w:r>
      <w:r w:rsidR="00107B53">
        <w:rPr>
          <w:rFonts w:ascii="Calibri" w:hAnsi="Calibri"/>
        </w:rPr>
        <w:t>which will</w:t>
      </w:r>
      <w:r w:rsidR="00EC127E">
        <w:rPr>
          <w:rFonts w:ascii="Calibri" w:hAnsi="Calibri"/>
        </w:rPr>
        <w:t xml:space="preserve"> </w:t>
      </w:r>
      <w:r>
        <w:rPr>
          <w:rFonts w:ascii="Calibri" w:hAnsi="Calibri"/>
        </w:rPr>
        <w:t>remove unnecessary</w:t>
      </w:r>
      <w:r w:rsidR="00EC127E">
        <w:rPr>
          <w:rFonts w:ascii="Calibri" w:hAnsi="Calibri"/>
        </w:rPr>
        <w:t xml:space="preserve"> costs for all parties.</w:t>
      </w:r>
      <w:r w:rsidR="009F459E" w:rsidRPr="009F459E">
        <w:rPr>
          <w:rFonts w:ascii="Calibri" w:hAnsi="Calibri"/>
        </w:rPr>
        <w:t xml:space="preserve"> </w:t>
      </w:r>
      <w:r w:rsidR="009F459E">
        <w:rPr>
          <w:rFonts w:ascii="Calibri" w:hAnsi="Calibri"/>
        </w:rPr>
        <w:t>Government will also gain from a certain tax system</w:t>
      </w:r>
      <w:r w:rsidR="00281BC1">
        <w:rPr>
          <w:rFonts w:ascii="Calibri" w:hAnsi="Calibri"/>
        </w:rPr>
        <w:t>; one</w:t>
      </w:r>
      <w:r w:rsidR="009F459E">
        <w:rPr>
          <w:rFonts w:ascii="Calibri" w:hAnsi="Calibri"/>
        </w:rPr>
        <w:t xml:space="preserve"> which seldom changes will ensure that HM Treasury is better able to estimate its total revenue intake in any given fiscal year and, therefore, assess its future spending plans more realistically.</w:t>
      </w:r>
    </w:p>
    <w:p w14:paraId="0CBC8332" w14:textId="22F82589" w:rsidR="00EC127E" w:rsidRDefault="009F459E" w:rsidP="00EC127E">
      <w:pPr>
        <w:jc w:val="both"/>
        <w:rPr>
          <w:rFonts w:ascii="Calibri" w:hAnsi="Calibri"/>
        </w:rPr>
      </w:pPr>
      <w:r>
        <w:rPr>
          <w:rFonts w:ascii="Calibri" w:hAnsi="Calibri"/>
        </w:rPr>
        <w:t xml:space="preserve">We welcomed the </w:t>
      </w:r>
      <w:r w:rsidR="000B5F7B">
        <w:rPr>
          <w:rFonts w:ascii="Calibri" w:hAnsi="Calibri"/>
        </w:rPr>
        <w:t>g</w:t>
      </w:r>
      <w:r>
        <w:rPr>
          <w:rFonts w:ascii="Calibri" w:hAnsi="Calibri"/>
        </w:rPr>
        <w:t>overnment’s decision to hold one major fiscal event per year. This move will help to promote certainty in the tax system as businesses face fewer ad hoc changes.</w:t>
      </w:r>
      <w:r w:rsidR="00687852">
        <w:rPr>
          <w:rFonts w:ascii="Calibri" w:hAnsi="Calibri"/>
        </w:rPr>
        <w:t xml:space="preserve"> </w:t>
      </w:r>
      <w:r w:rsidR="00EC127E">
        <w:rPr>
          <w:rFonts w:ascii="Calibri" w:hAnsi="Calibri"/>
        </w:rPr>
        <w:t>We outline our proposals for building</w:t>
      </w:r>
      <w:r w:rsidR="007254B0">
        <w:rPr>
          <w:rFonts w:ascii="Calibri" w:hAnsi="Calibri"/>
        </w:rPr>
        <w:t xml:space="preserve"> further</w:t>
      </w:r>
      <w:r w:rsidR="00EC127E">
        <w:rPr>
          <w:rFonts w:ascii="Calibri" w:hAnsi="Calibri"/>
        </w:rPr>
        <w:t xml:space="preserve"> certainty into the tax system below.</w:t>
      </w:r>
    </w:p>
    <w:p w14:paraId="1DD9137D" w14:textId="77777777" w:rsidR="00E612EF" w:rsidRDefault="00E612EF" w:rsidP="00233725">
      <w:pPr>
        <w:pBdr>
          <w:top w:val="single" w:sz="4" w:space="1" w:color="auto"/>
        </w:pBdr>
        <w:spacing w:after="0"/>
        <w:jc w:val="both"/>
        <w:rPr>
          <w:rFonts w:ascii="Calibri" w:hAnsi="Calibri"/>
        </w:rPr>
      </w:pPr>
    </w:p>
    <w:p w14:paraId="3701BFCD" w14:textId="77777777" w:rsidR="00F978C7" w:rsidRPr="003A6C28" w:rsidRDefault="00A37FC5" w:rsidP="00455922">
      <w:pPr>
        <w:pStyle w:val="Heading2"/>
        <w:numPr>
          <w:ilvl w:val="0"/>
          <w:numId w:val="5"/>
        </w:numPr>
        <w:spacing w:before="0" w:after="200"/>
        <w:ind w:left="426" w:hanging="426"/>
        <w:jc w:val="both"/>
        <w:rPr>
          <w:rFonts w:ascii="Calibri" w:hAnsi="Calibri"/>
          <w:color w:val="auto"/>
          <w:sz w:val="24"/>
        </w:rPr>
      </w:pPr>
      <w:bookmarkStart w:id="16" w:name="_Toc19093864"/>
      <w:r>
        <w:rPr>
          <w:rFonts w:ascii="Calibri" w:hAnsi="Calibri"/>
          <w:color w:val="auto"/>
          <w:sz w:val="24"/>
        </w:rPr>
        <w:t>Establishing a b</w:t>
      </w:r>
      <w:r w:rsidR="00F978C7" w:rsidRPr="003A6C28">
        <w:rPr>
          <w:rFonts w:ascii="Calibri" w:hAnsi="Calibri"/>
          <w:color w:val="auto"/>
          <w:sz w:val="24"/>
        </w:rPr>
        <w:t>inding ruling service</w:t>
      </w:r>
      <w:bookmarkEnd w:id="16"/>
    </w:p>
    <w:p w14:paraId="5927DC82" w14:textId="2B181FE7" w:rsidR="008948D6" w:rsidRPr="00583E47" w:rsidRDefault="008948D6" w:rsidP="00281BC1">
      <w:pPr>
        <w:jc w:val="both"/>
        <w:rPr>
          <w:rFonts w:ascii="Calibri" w:hAnsi="Calibri" w:cs="Calibri"/>
          <w:color w:val="FF0000"/>
        </w:rPr>
      </w:pPr>
      <w:r w:rsidRPr="00281BC1">
        <w:rPr>
          <w:rFonts w:ascii="Calibri" w:hAnsi="Calibri" w:cs="Calibri"/>
        </w:rPr>
        <w:t>A</w:t>
      </w:r>
      <w:r w:rsidR="00621F12">
        <w:rPr>
          <w:rFonts w:ascii="Calibri" w:hAnsi="Calibri" w:cs="Calibri"/>
        </w:rPr>
        <w:t>s a</w:t>
      </w:r>
      <w:r w:rsidRPr="00281BC1">
        <w:rPr>
          <w:rFonts w:ascii="Calibri" w:hAnsi="Calibri" w:cs="Calibri"/>
        </w:rPr>
        <w:t xml:space="preserve"> key cornerstone to building certainty into the tax system</w:t>
      </w:r>
      <w:r w:rsidR="00905697">
        <w:rPr>
          <w:rFonts w:ascii="Calibri" w:hAnsi="Calibri" w:cs="Calibri"/>
        </w:rPr>
        <w:t xml:space="preserve">, we propose </w:t>
      </w:r>
      <w:r w:rsidRPr="00281BC1">
        <w:rPr>
          <w:rFonts w:ascii="Calibri" w:hAnsi="Calibri" w:cs="Calibri"/>
        </w:rPr>
        <w:t>introduc</w:t>
      </w:r>
      <w:r w:rsidR="00905697">
        <w:rPr>
          <w:rFonts w:ascii="Calibri" w:hAnsi="Calibri" w:cs="Calibri"/>
        </w:rPr>
        <w:t>ing</w:t>
      </w:r>
      <w:r w:rsidRPr="00281BC1">
        <w:rPr>
          <w:rFonts w:ascii="Calibri" w:hAnsi="Calibri" w:cs="Calibri"/>
        </w:rPr>
        <w:t xml:space="preserve"> a binding clearance/ruling process along similar lines to those provided in</w:t>
      </w:r>
      <w:r w:rsidR="00905697">
        <w:rPr>
          <w:rFonts w:ascii="Calibri" w:hAnsi="Calibri" w:cs="Calibri"/>
        </w:rPr>
        <w:t xml:space="preserve"> the Netherlands and Luxembourg</w:t>
      </w:r>
      <w:r w:rsidRPr="00281BC1">
        <w:rPr>
          <w:rFonts w:ascii="Calibri" w:hAnsi="Calibri" w:cs="Calibri"/>
        </w:rPr>
        <w:t xml:space="preserve">. </w:t>
      </w:r>
      <w:r w:rsidR="00281BC1">
        <w:rPr>
          <w:rFonts w:ascii="Calibri" w:hAnsi="Calibri" w:cs="Calibri"/>
        </w:rPr>
        <w:t>A</w:t>
      </w:r>
      <w:r w:rsidRPr="00281BC1">
        <w:rPr>
          <w:rFonts w:ascii="Calibri" w:hAnsi="Calibri" w:cs="Calibri"/>
        </w:rPr>
        <w:t xml:space="preserve">t a time when the UK will want to be seen as an attractive place to do business, </w:t>
      </w:r>
      <w:r w:rsidR="00905697">
        <w:rPr>
          <w:rFonts w:ascii="Calibri" w:hAnsi="Calibri" w:cs="Calibri"/>
        </w:rPr>
        <w:t>such a service w</w:t>
      </w:r>
      <w:r w:rsidRPr="00281BC1">
        <w:rPr>
          <w:rFonts w:ascii="Calibri" w:hAnsi="Calibri" w:cs="Calibri"/>
        </w:rPr>
        <w:t>ould be a useful tool.</w:t>
      </w:r>
      <w:r w:rsidR="002E1A11">
        <w:rPr>
          <w:rFonts w:ascii="Calibri" w:hAnsi="Calibri" w:cs="Calibri"/>
        </w:rPr>
        <w:t xml:space="preserve"> </w:t>
      </w:r>
      <w:r w:rsidR="002E1A11" w:rsidRPr="00583E47">
        <w:rPr>
          <w:rFonts w:ascii="Calibri" w:hAnsi="Calibri" w:cs="Calibri"/>
          <w:color w:val="FF0000"/>
        </w:rPr>
        <w:t>It would of course be conditional on taxpayers making full disclosure of all relevant facts. It could be introduced on a paid-for basis and thus provide a small revenue-raising mechanism</w:t>
      </w:r>
      <w:r w:rsidR="008837CF" w:rsidRPr="00583E47">
        <w:rPr>
          <w:rFonts w:ascii="Calibri" w:hAnsi="Calibri" w:cs="Calibri"/>
          <w:color w:val="FF0000"/>
        </w:rPr>
        <w:t xml:space="preserve">. </w:t>
      </w:r>
    </w:p>
    <w:p w14:paraId="78DFD30B" w14:textId="56B9FC41" w:rsidR="000B5F7B" w:rsidRPr="000B5F7B" w:rsidRDefault="000B5F7B" w:rsidP="000B5F7B">
      <w:pPr>
        <w:jc w:val="both"/>
        <w:rPr>
          <w:rFonts w:ascii="Calibri" w:hAnsi="Calibri" w:cs="Calibri"/>
        </w:rPr>
      </w:pPr>
      <w:r w:rsidRPr="000B5F7B">
        <w:rPr>
          <w:rFonts w:ascii="Calibri" w:hAnsi="Calibri" w:cs="Calibri"/>
        </w:rPr>
        <w:t xml:space="preserve">It will, of course, be necessary to ensure that any proposed clearance/ruling process is not in breach of state aid regulations by virtue of being perceived to create unfair competition. </w:t>
      </w:r>
      <w:r w:rsidR="008837CF" w:rsidRPr="00583E47">
        <w:rPr>
          <w:rFonts w:ascii="Calibri" w:hAnsi="Calibri" w:cs="Calibri"/>
          <w:color w:val="FF0000"/>
        </w:rPr>
        <w:t>We understand, for example, that the</w:t>
      </w:r>
      <w:r w:rsidRPr="000B5F7B">
        <w:rPr>
          <w:rFonts w:ascii="Calibri" w:hAnsi="Calibri" w:cs="Calibri"/>
        </w:rPr>
        <w:t xml:space="preserve"> Netherlands have recently amended their own ruling processes.  </w:t>
      </w:r>
    </w:p>
    <w:p w14:paraId="3DB04DE0" w14:textId="77777777" w:rsidR="00F978C7" w:rsidRPr="000B5F7B" w:rsidRDefault="00FD6C77" w:rsidP="00455922">
      <w:pPr>
        <w:pStyle w:val="Heading2"/>
        <w:numPr>
          <w:ilvl w:val="0"/>
          <w:numId w:val="5"/>
        </w:numPr>
        <w:spacing w:before="0" w:after="200"/>
        <w:ind w:left="426" w:hanging="426"/>
        <w:jc w:val="both"/>
        <w:rPr>
          <w:rFonts w:ascii="Calibri" w:hAnsi="Calibri"/>
          <w:color w:val="auto"/>
          <w:sz w:val="24"/>
          <w:szCs w:val="22"/>
        </w:rPr>
      </w:pPr>
      <w:bookmarkStart w:id="17" w:name="_Toc19093865"/>
      <w:r>
        <w:rPr>
          <w:rFonts w:ascii="Calibri" w:hAnsi="Calibri"/>
          <w:color w:val="auto"/>
          <w:sz w:val="24"/>
          <w:szCs w:val="22"/>
        </w:rPr>
        <w:t>Clarifying the position of medium-sized entities with respect to t</w:t>
      </w:r>
      <w:r w:rsidR="00F978C7" w:rsidRPr="000B5F7B">
        <w:rPr>
          <w:rFonts w:ascii="Calibri" w:hAnsi="Calibri"/>
          <w:color w:val="auto"/>
          <w:sz w:val="24"/>
          <w:szCs w:val="22"/>
        </w:rPr>
        <w:t>ransfer pricing</w:t>
      </w:r>
      <w:bookmarkEnd w:id="17"/>
    </w:p>
    <w:p w14:paraId="49CA74AC" w14:textId="77777777" w:rsidR="002532B3" w:rsidRDefault="00832753" w:rsidP="00281BC1">
      <w:pPr>
        <w:jc w:val="both"/>
        <w:rPr>
          <w:rFonts w:ascii="Calibri" w:hAnsi="Calibri" w:cs="Calibri"/>
        </w:rPr>
      </w:pPr>
      <w:r>
        <w:rPr>
          <w:rFonts w:ascii="Calibri" w:hAnsi="Calibri" w:cs="Calibri"/>
        </w:rPr>
        <w:t xml:space="preserve">As we discussed in II.B., although </w:t>
      </w:r>
      <w:r w:rsidR="008948D6" w:rsidRPr="00281BC1">
        <w:rPr>
          <w:rFonts w:ascii="Calibri" w:hAnsi="Calibri" w:cs="Calibri"/>
        </w:rPr>
        <w:t>medium-sized groups (as defined in the legislation)</w:t>
      </w:r>
      <w:r>
        <w:rPr>
          <w:rFonts w:ascii="Calibri" w:hAnsi="Calibri" w:cs="Calibri"/>
        </w:rPr>
        <w:t xml:space="preserve"> are given </w:t>
      </w:r>
      <w:r w:rsidRPr="00281BC1">
        <w:rPr>
          <w:rFonts w:ascii="Calibri" w:hAnsi="Calibri" w:cs="Calibri"/>
        </w:rPr>
        <w:t>a partial exemption</w:t>
      </w:r>
      <w:r>
        <w:rPr>
          <w:rFonts w:ascii="Calibri" w:hAnsi="Calibri" w:cs="Calibri"/>
        </w:rPr>
        <w:t xml:space="preserve"> from</w:t>
      </w:r>
      <w:r w:rsidR="002532B3">
        <w:rPr>
          <w:rFonts w:ascii="Calibri" w:hAnsi="Calibri" w:cs="Calibri"/>
        </w:rPr>
        <w:t xml:space="preserve"> transfer pricing rules</w:t>
      </w:r>
      <w:r w:rsidR="008948D6" w:rsidRPr="00281BC1">
        <w:rPr>
          <w:rFonts w:ascii="Calibri" w:hAnsi="Calibri" w:cs="Calibri"/>
        </w:rPr>
        <w:t xml:space="preserve">, HMRC still has the power to direct transfer pricing adjustments. This leaves medium-sized groups in </w:t>
      </w:r>
      <w:r w:rsidR="002532B3" w:rsidRPr="00982174">
        <w:rPr>
          <w:rFonts w:ascii="Calibri" w:hAnsi="Calibri" w:cs="Calibri"/>
          <w:color w:val="FF0000"/>
        </w:rPr>
        <w:t>a limbo</w:t>
      </w:r>
      <w:r w:rsidR="008948D6" w:rsidRPr="00982174">
        <w:rPr>
          <w:rFonts w:ascii="Calibri" w:hAnsi="Calibri" w:cs="Calibri"/>
          <w:color w:val="FF0000"/>
        </w:rPr>
        <w:t xml:space="preserve"> </w:t>
      </w:r>
      <w:r w:rsidR="008948D6" w:rsidRPr="00281BC1">
        <w:rPr>
          <w:rFonts w:ascii="Calibri" w:hAnsi="Calibri" w:cs="Calibri"/>
        </w:rPr>
        <w:t>position of not knowing for certain whether or not transfer pricing adj</w:t>
      </w:r>
      <w:r w:rsidR="008948D6" w:rsidRPr="000B5F7B">
        <w:rPr>
          <w:rFonts w:ascii="Calibri" w:hAnsi="Calibri" w:cs="Calibri"/>
        </w:rPr>
        <w:t xml:space="preserve">ustments may ultimately be required. </w:t>
      </w:r>
    </w:p>
    <w:p w14:paraId="2FA84E09" w14:textId="2618FCA2" w:rsidR="008948D6" w:rsidRPr="000B5F7B" w:rsidRDefault="008948D6" w:rsidP="00281BC1">
      <w:pPr>
        <w:jc w:val="both"/>
        <w:rPr>
          <w:rFonts w:ascii="Calibri" w:hAnsi="Calibri" w:cs="Calibri"/>
        </w:rPr>
      </w:pPr>
      <w:r w:rsidRPr="000B5F7B">
        <w:rPr>
          <w:rFonts w:ascii="Calibri" w:hAnsi="Calibri" w:cs="Calibri"/>
        </w:rPr>
        <w:t xml:space="preserve">The result is that such companies </w:t>
      </w:r>
      <w:r w:rsidR="002532B3" w:rsidRPr="00982174">
        <w:rPr>
          <w:rFonts w:ascii="Calibri" w:hAnsi="Calibri" w:cs="Calibri"/>
          <w:color w:val="FF0000"/>
        </w:rPr>
        <w:t>may feel</w:t>
      </w:r>
      <w:r w:rsidRPr="00982174">
        <w:rPr>
          <w:rFonts w:ascii="Calibri" w:hAnsi="Calibri" w:cs="Calibri"/>
          <w:color w:val="FF0000"/>
        </w:rPr>
        <w:t xml:space="preserve"> </w:t>
      </w:r>
      <w:r w:rsidRPr="000B5F7B">
        <w:rPr>
          <w:rFonts w:ascii="Calibri" w:hAnsi="Calibri" w:cs="Calibri"/>
        </w:rPr>
        <w:t>compelled to collate, compile and update transfer pricing documentation and incur the necessary costs of doing so, in order to protect themselves from potential challenge by HMRC.</w:t>
      </w:r>
    </w:p>
    <w:p w14:paraId="27A08774" w14:textId="77777777" w:rsidR="002532B3" w:rsidRDefault="008948D6" w:rsidP="000B5F7B">
      <w:pPr>
        <w:jc w:val="both"/>
        <w:rPr>
          <w:rFonts w:ascii="Calibri" w:hAnsi="Calibri" w:cs="Calibri"/>
        </w:rPr>
      </w:pPr>
      <w:r w:rsidRPr="000B5F7B">
        <w:rPr>
          <w:rFonts w:ascii="Calibri" w:hAnsi="Calibri" w:cs="Calibri"/>
        </w:rPr>
        <w:t xml:space="preserve">However, we understand that the number of HMRC directions issued to medium-sized entities is minimal. </w:t>
      </w:r>
    </w:p>
    <w:p w14:paraId="5E1DB5DB" w14:textId="5DF62E48" w:rsidR="00832753" w:rsidRPr="00982174" w:rsidRDefault="008948D6" w:rsidP="000B5F7B">
      <w:pPr>
        <w:jc w:val="both"/>
        <w:rPr>
          <w:rFonts w:ascii="Calibri" w:hAnsi="Calibri" w:cs="Calibri"/>
          <w:color w:val="FF0000"/>
        </w:rPr>
      </w:pPr>
      <w:r w:rsidRPr="000B5F7B">
        <w:rPr>
          <w:rFonts w:ascii="Calibri" w:hAnsi="Calibri" w:cs="Calibri"/>
        </w:rPr>
        <w:t>This suggests that the uncertainty of the application of these rules to medium-sized entities serves li</w:t>
      </w:r>
      <w:r w:rsidR="002532B3">
        <w:rPr>
          <w:rFonts w:ascii="Calibri" w:hAnsi="Calibri" w:cs="Calibri"/>
        </w:rPr>
        <w:t xml:space="preserve">ttle purpose, </w:t>
      </w:r>
      <w:r w:rsidR="002532B3" w:rsidRPr="00982174">
        <w:rPr>
          <w:rFonts w:ascii="Calibri" w:hAnsi="Calibri" w:cs="Calibri"/>
          <w:color w:val="FF0000"/>
        </w:rPr>
        <w:t xml:space="preserve">and the associated tax cost of modifying the current position is likely to be small. </w:t>
      </w:r>
    </w:p>
    <w:p w14:paraId="5BCD7999" w14:textId="77777777" w:rsidR="002532B3" w:rsidRDefault="00832753" w:rsidP="000B5F7B">
      <w:pPr>
        <w:jc w:val="both"/>
        <w:rPr>
          <w:rFonts w:ascii="Calibri" w:hAnsi="Calibri" w:cs="Calibri"/>
          <w:b/>
        </w:rPr>
      </w:pPr>
      <w:r w:rsidRPr="00832753">
        <w:rPr>
          <w:rFonts w:ascii="Calibri" w:hAnsi="Calibri" w:cs="Calibri"/>
          <w:b/>
        </w:rPr>
        <w:t>If the government elects not to establish a Tax Gateway for small and mid-size quoted companies, w</w:t>
      </w:r>
      <w:r w:rsidR="007D7183" w:rsidRPr="00832753">
        <w:rPr>
          <w:rFonts w:ascii="Calibri" w:hAnsi="Calibri" w:cs="Calibri"/>
          <w:b/>
        </w:rPr>
        <w:t>e encourage the g</w:t>
      </w:r>
      <w:r w:rsidR="008948D6" w:rsidRPr="00832753">
        <w:rPr>
          <w:rFonts w:ascii="Calibri" w:hAnsi="Calibri" w:cs="Calibri"/>
          <w:b/>
        </w:rPr>
        <w:t xml:space="preserve">overnment to clarify the position for </w:t>
      </w:r>
      <w:r w:rsidR="002532B3">
        <w:rPr>
          <w:rFonts w:ascii="Calibri" w:hAnsi="Calibri" w:cs="Calibri"/>
          <w:b/>
        </w:rPr>
        <w:t>“</w:t>
      </w:r>
      <w:r w:rsidR="008948D6" w:rsidRPr="00832753">
        <w:rPr>
          <w:rFonts w:ascii="Calibri" w:hAnsi="Calibri" w:cs="Calibri"/>
          <w:b/>
        </w:rPr>
        <w:t>medium-sized</w:t>
      </w:r>
      <w:r w:rsidR="002532B3">
        <w:rPr>
          <w:rFonts w:ascii="Calibri" w:hAnsi="Calibri" w:cs="Calibri"/>
          <w:b/>
        </w:rPr>
        <w:t>”</w:t>
      </w:r>
      <w:r w:rsidR="008948D6" w:rsidRPr="00832753">
        <w:rPr>
          <w:rFonts w:ascii="Calibri" w:hAnsi="Calibri" w:cs="Calibri"/>
          <w:b/>
        </w:rPr>
        <w:t xml:space="preserve"> groups in this regard. </w:t>
      </w:r>
    </w:p>
    <w:p w14:paraId="576E68F4" w14:textId="12FE6215" w:rsidR="002532B3" w:rsidRDefault="008948D6" w:rsidP="000B5F7B">
      <w:pPr>
        <w:jc w:val="both"/>
        <w:rPr>
          <w:rFonts w:ascii="Calibri" w:hAnsi="Calibri" w:cs="Calibri"/>
          <w:b/>
        </w:rPr>
      </w:pPr>
      <w:r w:rsidRPr="00832753">
        <w:rPr>
          <w:rFonts w:ascii="Calibri" w:hAnsi="Calibri" w:cs="Calibri"/>
          <w:b/>
        </w:rPr>
        <w:t xml:space="preserve">This could be achieved </w:t>
      </w:r>
      <w:r w:rsidR="002532B3" w:rsidRPr="00982174">
        <w:rPr>
          <w:rFonts w:ascii="Calibri" w:hAnsi="Calibri" w:cs="Calibri"/>
          <w:b/>
          <w:color w:val="FF0000"/>
        </w:rPr>
        <w:t>through the following means:</w:t>
      </w:r>
    </w:p>
    <w:p w14:paraId="66C689EE" w14:textId="0999B3E4" w:rsidR="008948D6" w:rsidRDefault="002532B3" w:rsidP="002532B3">
      <w:pPr>
        <w:jc w:val="both"/>
        <w:rPr>
          <w:rFonts w:ascii="Calibri" w:hAnsi="Calibri" w:cs="Calibri"/>
          <w:b/>
        </w:rPr>
      </w:pPr>
      <w:r w:rsidRPr="00767B79">
        <w:rPr>
          <w:rFonts w:ascii="Calibri" w:hAnsi="Calibri" w:cs="Calibri"/>
          <w:b/>
          <w:color w:val="FF0000"/>
        </w:rPr>
        <w:lastRenderedPageBreak/>
        <w:t xml:space="preserve">1. </w:t>
      </w:r>
      <w:r>
        <w:rPr>
          <w:rFonts w:ascii="Calibri" w:hAnsi="Calibri" w:cs="Calibri"/>
          <w:b/>
        </w:rPr>
        <w:t>R</w:t>
      </w:r>
      <w:r w:rsidR="008948D6" w:rsidRPr="002532B3">
        <w:rPr>
          <w:rFonts w:ascii="Calibri" w:hAnsi="Calibri" w:cs="Calibri"/>
          <w:b/>
        </w:rPr>
        <w:t xml:space="preserve">aising the threshold at which the transfer pricing rules apply. </w:t>
      </w:r>
    </w:p>
    <w:p w14:paraId="6896F57C" w14:textId="4BBF619B" w:rsidR="002532B3" w:rsidRPr="00D06285" w:rsidRDefault="002532B3" w:rsidP="002532B3">
      <w:pPr>
        <w:jc w:val="both"/>
        <w:rPr>
          <w:rFonts w:ascii="Calibri" w:hAnsi="Calibri" w:cs="Calibri"/>
          <w:color w:val="FF0000"/>
        </w:rPr>
      </w:pPr>
      <w:r w:rsidRPr="00D06285">
        <w:rPr>
          <w:rFonts w:ascii="Calibri" w:hAnsi="Calibri" w:cs="Calibri"/>
          <w:color w:val="FF0000"/>
        </w:rPr>
        <w:t>This would have the effect of relieving the burden of operating transfer pricing on many groups where the potential tax risk that they represent to the UK Exchequer is modest.</w:t>
      </w:r>
    </w:p>
    <w:p w14:paraId="37E0F262" w14:textId="1D138D73" w:rsidR="002532B3" w:rsidRPr="00D06285" w:rsidRDefault="002532B3" w:rsidP="002532B3">
      <w:pPr>
        <w:jc w:val="both"/>
        <w:rPr>
          <w:rFonts w:ascii="Calibri" w:hAnsi="Calibri" w:cs="Calibri"/>
          <w:b/>
          <w:color w:val="FF0000"/>
        </w:rPr>
      </w:pPr>
      <w:r w:rsidRPr="00D06285">
        <w:rPr>
          <w:rFonts w:ascii="Calibri" w:hAnsi="Calibri" w:cs="Calibri"/>
          <w:b/>
          <w:color w:val="FF0000"/>
        </w:rPr>
        <w:t xml:space="preserve">2. </w:t>
      </w:r>
      <w:r w:rsidR="00587704" w:rsidRPr="00D06285">
        <w:rPr>
          <w:rFonts w:ascii="Calibri" w:hAnsi="Calibri" w:cs="Calibri"/>
          <w:b/>
          <w:color w:val="FF0000"/>
        </w:rPr>
        <w:t>Introducing legislation stating that a transfer pricing direction will only be issued to “</w:t>
      </w:r>
      <w:r w:rsidR="00831E8E" w:rsidRPr="00D06285">
        <w:rPr>
          <w:rFonts w:ascii="Calibri" w:hAnsi="Calibri" w:cs="Calibri"/>
          <w:b/>
          <w:color w:val="FF0000"/>
        </w:rPr>
        <w:t>medium-</w:t>
      </w:r>
      <w:r w:rsidR="00587704" w:rsidRPr="00D06285">
        <w:rPr>
          <w:rFonts w:ascii="Calibri" w:hAnsi="Calibri" w:cs="Calibri"/>
          <w:b/>
          <w:color w:val="FF0000"/>
        </w:rPr>
        <w:t xml:space="preserve">sized” groups where arrangements have been entered into </w:t>
      </w:r>
      <w:r w:rsidR="00767B79">
        <w:rPr>
          <w:rFonts w:ascii="Calibri" w:hAnsi="Calibri" w:cs="Calibri"/>
          <w:b/>
          <w:color w:val="FF0000"/>
        </w:rPr>
        <w:t xml:space="preserve">those </w:t>
      </w:r>
      <w:r w:rsidR="00587704" w:rsidRPr="00D06285">
        <w:rPr>
          <w:rFonts w:ascii="Calibri" w:hAnsi="Calibri" w:cs="Calibri"/>
          <w:b/>
          <w:color w:val="FF0000"/>
        </w:rPr>
        <w:t>that have a tax avoidance motive.</w:t>
      </w:r>
    </w:p>
    <w:p w14:paraId="77727085" w14:textId="7BAA84B4" w:rsidR="00831E8E" w:rsidRPr="00D06285" w:rsidRDefault="00831E8E" w:rsidP="002532B3">
      <w:pPr>
        <w:jc w:val="both"/>
        <w:rPr>
          <w:rFonts w:ascii="Calibri" w:hAnsi="Calibri" w:cs="Calibri"/>
          <w:color w:val="FF0000"/>
        </w:rPr>
      </w:pPr>
      <w:r w:rsidRPr="00D06285">
        <w:rPr>
          <w:rFonts w:ascii="Calibri" w:hAnsi="Calibri" w:cs="Calibri"/>
          <w:color w:val="FF0000"/>
        </w:rPr>
        <w:t>This would ensure that the existing legislation is not targeted at groups operating on a wholly commercial basis.</w:t>
      </w:r>
    </w:p>
    <w:p w14:paraId="45E84BA3" w14:textId="00FF9EDC" w:rsidR="00831E8E" w:rsidRPr="00D06285" w:rsidRDefault="00831E8E" w:rsidP="00831E8E">
      <w:pPr>
        <w:jc w:val="both"/>
        <w:rPr>
          <w:rFonts w:ascii="Calibri" w:hAnsi="Calibri" w:cs="Calibri"/>
          <w:b/>
          <w:color w:val="FF0000"/>
        </w:rPr>
      </w:pPr>
      <w:r w:rsidRPr="00D06285">
        <w:rPr>
          <w:rFonts w:ascii="Calibri" w:hAnsi="Calibri" w:cs="Calibri"/>
          <w:b/>
          <w:color w:val="FF0000"/>
        </w:rPr>
        <w:t xml:space="preserve">3. Confirm the circumstances in which HMRC will seek to issue a direction to “medium-sized” groups to operate transfer pricing policies. </w:t>
      </w:r>
    </w:p>
    <w:p w14:paraId="2772BD55" w14:textId="585113EA" w:rsidR="00831E8E" w:rsidRPr="00D06285" w:rsidRDefault="00831E8E" w:rsidP="00831E8E">
      <w:pPr>
        <w:jc w:val="both"/>
        <w:rPr>
          <w:rFonts w:ascii="Calibri" w:hAnsi="Calibri" w:cs="Calibri"/>
          <w:color w:val="FF0000"/>
        </w:rPr>
      </w:pPr>
      <w:r w:rsidRPr="00D06285">
        <w:rPr>
          <w:rFonts w:ascii="Calibri" w:hAnsi="Calibri" w:cs="Calibri"/>
          <w:color w:val="FF0000"/>
        </w:rPr>
        <w:t xml:space="preserve">There is currently no substantive guidance provided by HMRC on the circumstances in which a direction to operate transfer pricing will be made (See INTM412070). </w:t>
      </w:r>
    </w:p>
    <w:p w14:paraId="53A0BBCA" w14:textId="5C8539C5" w:rsidR="00831E8E" w:rsidRPr="00D06285" w:rsidRDefault="00831E8E" w:rsidP="00831E8E">
      <w:pPr>
        <w:jc w:val="both"/>
        <w:rPr>
          <w:rFonts w:ascii="Calibri" w:hAnsi="Calibri" w:cs="Calibri"/>
          <w:color w:val="FF0000"/>
        </w:rPr>
      </w:pPr>
      <w:r w:rsidRPr="00D06285">
        <w:rPr>
          <w:rFonts w:ascii="Calibri" w:hAnsi="Calibri" w:cs="Calibri"/>
          <w:color w:val="FF0000"/>
        </w:rPr>
        <w:t xml:space="preserve">Updating HMRC’s guidance in this area would give “medium-sized” groups a clear understanding of how and when HMRC will seek to apply their existing legislative powers. </w:t>
      </w:r>
    </w:p>
    <w:p w14:paraId="69A6676B" w14:textId="7E16AFC5" w:rsidR="008948D6" w:rsidRPr="00BA379F" w:rsidRDefault="00BA379F" w:rsidP="00BA379F">
      <w:pPr>
        <w:jc w:val="both"/>
        <w:rPr>
          <w:rFonts w:ascii="Calibri" w:hAnsi="Calibri" w:cs="Calibri"/>
          <w:b/>
        </w:rPr>
      </w:pPr>
      <w:r w:rsidRPr="004922B9">
        <w:rPr>
          <w:rFonts w:ascii="Calibri" w:hAnsi="Calibri" w:cs="Calibri"/>
          <w:b/>
          <w:color w:val="FF0000"/>
        </w:rPr>
        <w:t xml:space="preserve">4. </w:t>
      </w:r>
      <w:r w:rsidR="00831E8E" w:rsidRPr="00BA379F">
        <w:rPr>
          <w:rFonts w:ascii="Calibri" w:hAnsi="Calibri" w:cs="Calibri"/>
          <w:b/>
        </w:rPr>
        <w:t xml:space="preserve">Confirm that a </w:t>
      </w:r>
      <w:r w:rsidR="00831E8E" w:rsidRPr="00D06285">
        <w:rPr>
          <w:rFonts w:ascii="Calibri" w:hAnsi="Calibri" w:cs="Calibri"/>
          <w:b/>
          <w:color w:val="FF0000"/>
        </w:rPr>
        <w:t xml:space="preserve">“medium-sized” group is </w:t>
      </w:r>
      <w:r w:rsidR="00831E8E" w:rsidRPr="00BA379F">
        <w:rPr>
          <w:rFonts w:ascii="Calibri" w:hAnsi="Calibri" w:cs="Calibri"/>
          <w:b/>
        </w:rPr>
        <w:t>not required to compile contemporaneous evidence to support transfer pricing policies unless they wish to, and that HMRC will not seek to discount the value of evidence compiled at a later date following the commencement of HMRC enquiries.</w:t>
      </w:r>
    </w:p>
    <w:p w14:paraId="69B1B613" w14:textId="14166556" w:rsidR="00831E8E" w:rsidRPr="00D06285" w:rsidRDefault="00BA379F" w:rsidP="00BA379F">
      <w:pPr>
        <w:rPr>
          <w:color w:val="FF0000"/>
        </w:rPr>
      </w:pPr>
      <w:r w:rsidRPr="00D06285">
        <w:rPr>
          <w:color w:val="FF0000"/>
        </w:rPr>
        <w:t xml:space="preserve">This would give groups of this size comfort that they do not need to incur significant transfer pricing costs ahead of a direction being received and will not be adversely affected by the failure to do so. </w:t>
      </w:r>
    </w:p>
    <w:p w14:paraId="2FDA6CA8" w14:textId="77777777" w:rsidR="008948D6" w:rsidRPr="001762CC" w:rsidRDefault="008E5291" w:rsidP="00632E40">
      <w:pPr>
        <w:jc w:val="both"/>
        <w:rPr>
          <w:rFonts w:ascii="Calibri" w:hAnsi="Calibri" w:cs="Calibri"/>
          <w:b/>
          <w:i/>
        </w:rPr>
      </w:pPr>
      <w:r w:rsidRPr="008E5291">
        <w:rPr>
          <w:rFonts w:ascii="Calibri" w:hAnsi="Calibri" w:cs="Calibri"/>
          <w:b/>
          <w:i/>
          <w:noProof/>
          <w:lang w:eastAsia="en-GB"/>
        </w:rPr>
        <mc:AlternateContent>
          <mc:Choice Requires="wps">
            <w:drawing>
              <wp:inline distT="0" distB="0" distL="0" distR="0" wp14:anchorId="15C81C4B" wp14:editId="531638C0">
                <wp:extent cx="6210358" cy="950026"/>
                <wp:effectExtent l="0" t="0" r="19050" b="21590"/>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58" cy="95002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5FC7BEA" w14:textId="637A09C4" w:rsidR="006A5868" w:rsidRPr="008E5291" w:rsidRDefault="006A5868" w:rsidP="008E5291">
                            <w:pPr>
                              <w:jc w:val="both"/>
                              <w:rPr>
                                <w:rFonts w:ascii="Calibri" w:hAnsi="Calibri" w:cs="Calibri"/>
                                <w:b/>
                              </w:rPr>
                            </w:pPr>
                            <w:r w:rsidRPr="008E5291">
                              <w:rPr>
                                <w:rFonts w:ascii="Calibri" w:hAnsi="Calibri" w:cs="Calibri"/>
                                <w:b/>
                              </w:rPr>
                              <w:t>Our members continuously tell us that the onerous cost of compliance outweighs any commercial benefit o</w:t>
                            </w:r>
                            <w:r>
                              <w:rPr>
                                <w:rFonts w:ascii="Calibri" w:hAnsi="Calibri" w:cs="Calibri"/>
                                <w:b/>
                              </w:rPr>
                              <w:t>f</w:t>
                            </w:r>
                            <w:r w:rsidRPr="008E5291">
                              <w:rPr>
                                <w:rFonts w:ascii="Calibri" w:hAnsi="Calibri" w:cs="Calibri"/>
                                <w:b/>
                              </w:rPr>
                              <w:t xml:space="preserve"> any possible increase in tax revenues. We have detailed anonymised examples of companies that have experienced practical difficulties applying the transfer pricing rules in Appendix </w:t>
                            </w:r>
                            <w:r>
                              <w:rPr>
                                <w:rFonts w:ascii="Calibri" w:hAnsi="Calibri" w:cs="Calibri"/>
                                <w:b/>
                              </w:rPr>
                              <w:t>E</w:t>
                            </w:r>
                            <w:r w:rsidRPr="008E5291">
                              <w:rPr>
                                <w:rFonts w:ascii="Calibri" w:hAnsi="Calibri" w:cs="Calibri"/>
                                <w:b/>
                              </w:rPr>
                              <w:t>. They illustrate the complexities and costs incurred by small and mid-size quoted companies.</w:t>
                            </w:r>
                          </w:p>
                          <w:p w14:paraId="722AB8CA" w14:textId="77777777" w:rsidR="006A5868" w:rsidRDefault="006A5868"/>
                        </w:txbxContent>
                      </wps:txbx>
                      <wps:bodyPr rot="0" vert="horz" wrap="square" lIns="91440" tIns="45720" rIns="91440" bIns="45720" anchor="t" anchorCtr="0">
                        <a:noAutofit/>
                      </wps:bodyPr>
                    </wps:wsp>
                  </a:graphicData>
                </a:graphic>
              </wp:inline>
            </w:drawing>
          </mc:Choice>
          <mc:Fallback>
            <w:pict>
              <v:shape w14:anchorId="15C81C4B" id="_x0000_s1030" type="#_x0000_t202" style="width:489pt;height:7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" fillcolor="white [3201]" strokecolor="black [3200]" strokeweight="2pt">
                <v:textbox>
                  <w:txbxContent>
                    <w:p w14:paraId="75FC7BEA" w14:textId="637A09C4" w:rsidR="006A5868" w:rsidRPr="008E5291" w:rsidRDefault="006A5868" w:rsidP="008E5291">
                      <w:pPr>
                        <w:jc w:val="both"/>
                        <w:rPr>
                          <w:rFonts w:ascii="Calibri" w:hAnsi="Calibri" w:cs="Calibri"/>
                          <w:b/>
                        </w:rPr>
                      </w:pPr>
                      <w:r w:rsidRPr="008E5291">
                        <w:rPr>
                          <w:rFonts w:ascii="Calibri" w:hAnsi="Calibri" w:cs="Calibri"/>
                          <w:b/>
                        </w:rPr>
                        <w:t>Our members continuously tell us that the onerous cost of compliance outweighs any commercial benefit o</w:t>
                      </w:r>
                      <w:r>
                        <w:rPr>
                          <w:rFonts w:ascii="Calibri" w:hAnsi="Calibri" w:cs="Calibri"/>
                          <w:b/>
                        </w:rPr>
                        <w:t>f</w:t>
                      </w:r>
                      <w:r w:rsidRPr="008E5291">
                        <w:rPr>
                          <w:rFonts w:ascii="Calibri" w:hAnsi="Calibri" w:cs="Calibri"/>
                          <w:b/>
                        </w:rPr>
                        <w:t xml:space="preserve"> any possible increase in tax revenues. We have detailed anonymised examples of companies that have experienced practical difficulties applying the transfer pricing rules in Appendix </w:t>
                      </w:r>
                      <w:r>
                        <w:rPr>
                          <w:rFonts w:ascii="Calibri" w:hAnsi="Calibri" w:cs="Calibri"/>
                          <w:b/>
                        </w:rPr>
                        <w:t>E</w:t>
                      </w:r>
                      <w:r w:rsidRPr="008E5291">
                        <w:rPr>
                          <w:rFonts w:ascii="Calibri" w:hAnsi="Calibri" w:cs="Calibri"/>
                          <w:b/>
                        </w:rPr>
                        <w:t>. They illustrate the complexities and costs incurred by small and mid-size quoted companies.</w:t>
                      </w:r>
                    </w:p>
                    <w:p w14:paraId="722AB8CA" w14:textId="77777777" w:rsidR="006A5868" w:rsidRDefault="006A5868"/>
                  </w:txbxContent>
                </v:textbox>
                <w10:anchorlock/>
              </v:shape>
            </w:pict>
          </mc:Fallback>
        </mc:AlternateContent>
      </w:r>
    </w:p>
    <w:p w14:paraId="69873B60" w14:textId="77777777" w:rsidR="00E44C44" w:rsidRPr="00632E40" w:rsidRDefault="00E44C44" w:rsidP="00632E40">
      <w:pPr>
        <w:jc w:val="both"/>
        <w:rPr>
          <w:rFonts w:ascii="Calibri" w:hAnsi="Calibri" w:cs="Calibri"/>
        </w:rPr>
      </w:pPr>
    </w:p>
    <w:p w14:paraId="03FDC39F" w14:textId="77777777" w:rsidR="00F80CDB" w:rsidRPr="00281BC1" w:rsidRDefault="00F80CDB" w:rsidP="00281BC1">
      <w:pPr>
        <w:shd w:val="clear" w:color="auto" w:fill="FFFFFF"/>
        <w:jc w:val="both"/>
        <w:rPr>
          <w:rFonts w:ascii="Calibri" w:hAnsi="Calibri"/>
          <w:lang w:eastAsia="en-GB"/>
        </w:rPr>
      </w:pPr>
    </w:p>
    <w:p w14:paraId="394653E6" w14:textId="77777777" w:rsidR="00F80CDB" w:rsidRPr="00767ADC" w:rsidRDefault="00F80CDB" w:rsidP="008559C8">
      <w:pPr>
        <w:shd w:val="clear" w:color="auto" w:fill="FFFFFF"/>
        <w:jc w:val="both"/>
        <w:rPr>
          <w:rFonts w:ascii="Calibri" w:hAnsi="Calibri"/>
          <w:sz w:val="24"/>
          <w:szCs w:val="24"/>
          <w:lang w:eastAsia="en-GB"/>
        </w:rPr>
        <w:sectPr w:rsidR="00F80CDB" w:rsidRPr="00767ADC" w:rsidSect="00F27B7A">
          <w:pgSz w:w="11906" w:h="16838"/>
          <w:pgMar w:top="1134" w:right="1134" w:bottom="1134" w:left="1134" w:header="708" w:footer="708" w:gutter="0"/>
          <w:cols w:space="708"/>
          <w:docGrid w:linePitch="360"/>
        </w:sectPr>
      </w:pPr>
    </w:p>
    <w:p w14:paraId="5A0D6DAD" w14:textId="77777777" w:rsidR="00D10877" w:rsidRPr="00EA325E" w:rsidRDefault="00D10877" w:rsidP="00D10877">
      <w:pPr>
        <w:pStyle w:val="Heading1"/>
        <w:spacing w:before="0" w:after="200"/>
        <w:jc w:val="both"/>
        <w:rPr>
          <w:rFonts w:ascii="Calibri" w:hAnsi="Calibri"/>
          <w:color w:val="auto"/>
          <w:sz w:val="24"/>
          <w:szCs w:val="24"/>
          <w:u w:val="single"/>
        </w:rPr>
      </w:pPr>
      <w:bookmarkStart w:id="18" w:name="_Toc19093866"/>
      <w:r>
        <w:rPr>
          <w:rFonts w:ascii="Calibri" w:hAnsi="Calibri"/>
          <w:color w:val="auto"/>
          <w:sz w:val="24"/>
          <w:szCs w:val="24"/>
          <w:u w:val="single"/>
        </w:rPr>
        <w:lastRenderedPageBreak/>
        <w:t>Appendix A</w:t>
      </w:r>
      <w:r w:rsidRPr="00EA325E">
        <w:rPr>
          <w:rFonts w:ascii="Calibri" w:hAnsi="Calibri"/>
          <w:color w:val="auto"/>
          <w:sz w:val="24"/>
          <w:szCs w:val="24"/>
          <w:u w:val="single"/>
        </w:rPr>
        <w:t>: European regimes for tax relief for the costs of raising equity</w:t>
      </w:r>
      <w:r w:rsidRPr="00EA325E">
        <w:rPr>
          <w:rStyle w:val="FootnoteReference"/>
          <w:rFonts w:ascii="Calibri" w:hAnsi="Calibri" w:cs="Calibri"/>
          <w:b w:val="0"/>
          <w:color w:val="auto"/>
          <w:sz w:val="24"/>
          <w:szCs w:val="24"/>
          <w:u w:val="single"/>
        </w:rPr>
        <w:footnoteReference w:id="36"/>
      </w:r>
      <w:bookmarkEnd w:id="18"/>
    </w:p>
    <w:tbl>
      <w:tblPr>
        <w:tblStyle w:val="TableGrid"/>
        <w:tblW w:w="9889" w:type="dxa"/>
        <w:tblLook w:val="04A0" w:firstRow="1" w:lastRow="0" w:firstColumn="1" w:lastColumn="0" w:noHBand="0" w:noVBand="1"/>
      </w:tblPr>
      <w:tblGrid>
        <w:gridCol w:w="1814"/>
        <w:gridCol w:w="3114"/>
        <w:gridCol w:w="4961"/>
      </w:tblGrid>
      <w:tr w:rsidR="00D10877" w:rsidRPr="000A4031" w14:paraId="140BEE64" w14:textId="77777777" w:rsidTr="006601AB">
        <w:trPr>
          <w:tblHeader/>
        </w:trPr>
        <w:tc>
          <w:tcPr>
            <w:tcW w:w="1814" w:type="dxa"/>
            <w:shd w:val="clear" w:color="auto" w:fill="F2F2F2" w:themeFill="background1" w:themeFillShade="F2"/>
          </w:tcPr>
          <w:p w14:paraId="50357EDB" w14:textId="77777777" w:rsidR="00D10877" w:rsidRPr="00C4032A" w:rsidRDefault="00D10877" w:rsidP="00623F8C">
            <w:pPr>
              <w:spacing w:after="200" w:line="276" w:lineRule="auto"/>
              <w:rPr>
                <w:rFonts w:cs="Calibri"/>
                <w:b/>
              </w:rPr>
            </w:pPr>
            <w:r w:rsidRPr="00C4032A">
              <w:rPr>
                <w:rFonts w:cs="Calibri"/>
                <w:b/>
              </w:rPr>
              <w:t>Country</w:t>
            </w:r>
          </w:p>
        </w:tc>
        <w:tc>
          <w:tcPr>
            <w:tcW w:w="3114" w:type="dxa"/>
            <w:shd w:val="clear" w:color="auto" w:fill="F2F2F2" w:themeFill="background1" w:themeFillShade="F2"/>
          </w:tcPr>
          <w:p w14:paraId="2F507ED0" w14:textId="77777777" w:rsidR="00D10877" w:rsidRPr="004B5C29" w:rsidRDefault="00D10877" w:rsidP="00403860">
            <w:pPr>
              <w:spacing w:after="200" w:line="276" w:lineRule="auto"/>
              <w:rPr>
                <w:rFonts w:cs="Calibri"/>
                <w:b/>
              </w:rPr>
            </w:pPr>
            <w:r w:rsidRPr="004B5C29">
              <w:rPr>
                <w:rFonts w:cs="Calibri"/>
                <w:b/>
              </w:rPr>
              <w:t>Is there any corporate tax relief for flotation costs?</w:t>
            </w:r>
          </w:p>
        </w:tc>
        <w:tc>
          <w:tcPr>
            <w:tcW w:w="4961" w:type="dxa"/>
            <w:shd w:val="clear" w:color="auto" w:fill="F2F2F2" w:themeFill="background1" w:themeFillShade="F2"/>
          </w:tcPr>
          <w:p w14:paraId="3E1DB094" w14:textId="556FCC59" w:rsidR="00D10877" w:rsidRPr="004B5C29" w:rsidRDefault="00D10877" w:rsidP="000F1727">
            <w:pPr>
              <w:spacing w:after="200" w:line="276" w:lineRule="auto"/>
              <w:rPr>
                <w:rFonts w:cs="Calibri"/>
                <w:b/>
              </w:rPr>
            </w:pPr>
            <w:r w:rsidRPr="004B5C29">
              <w:rPr>
                <w:rFonts w:cs="Calibri"/>
                <w:b/>
              </w:rPr>
              <w:t>Are the costs of issuing new equity generally deductible for corporation tax purposes?</w:t>
            </w:r>
          </w:p>
        </w:tc>
      </w:tr>
      <w:tr w:rsidR="00D10877" w:rsidRPr="000A4031" w14:paraId="685156DA" w14:textId="77777777" w:rsidTr="00BD02DF">
        <w:tc>
          <w:tcPr>
            <w:tcW w:w="1814" w:type="dxa"/>
          </w:tcPr>
          <w:p w14:paraId="28C536E4" w14:textId="77777777" w:rsidR="00D10877" w:rsidRPr="00C4032A" w:rsidRDefault="00D10877" w:rsidP="00623F8C">
            <w:pPr>
              <w:spacing w:after="200" w:line="276" w:lineRule="auto"/>
              <w:rPr>
                <w:rFonts w:cs="Calibri"/>
                <w:b/>
              </w:rPr>
            </w:pPr>
            <w:r w:rsidRPr="00C4032A">
              <w:rPr>
                <w:rFonts w:cs="Calibri"/>
                <w:b/>
              </w:rPr>
              <w:t>United Kingdom</w:t>
            </w:r>
          </w:p>
        </w:tc>
        <w:tc>
          <w:tcPr>
            <w:tcW w:w="3114" w:type="dxa"/>
          </w:tcPr>
          <w:p w14:paraId="30D78406" w14:textId="77777777" w:rsidR="00D10877" w:rsidRPr="008A5778" w:rsidRDefault="00D10877" w:rsidP="00403860">
            <w:pPr>
              <w:spacing w:after="200" w:line="276" w:lineRule="auto"/>
              <w:rPr>
                <w:rFonts w:cs="Calibri"/>
              </w:rPr>
            </w:pPr>
            <w:r w:rsidRPr="000D162E">
              <w:rPr>
                <w:rFonts w:cs="Calibri"/>
              </w:rPr>
              <w:t>No.</w:t>
            </w:r>
          </w:p>
        </w:tc>
        <w:tc>
          <w:tcPr>
            <w:tcW w:w="4961" w:type="dxa"/>
          </w:tcPr>
          <w:p w14:paraId="56F0A0B0" w14:textId="77777777" w:rsidR="00D10877" w:rsidRPr="001A2A5C" w:rsidRDefault="00D10877" w:rsidP="000F1727">
            <w:pPr>
              <w:spacing w:after="200" w:line="276" w:lineRule="auto"/>
              <w:rPr>
                <w:rFonts w:cs="Calibri"/>
              </w:rPr>
            </w:pPr>
            <w:r w:rsidRPr="001A2A5C">
              <w:rPr>
                <w:rFonts w:cs="Calibri"/>
              </w:rPr>
              <w:t>No.</w:t>
            </w:r>
          </w:p>
        </w:tc>
      </w:tr>
      <w:tr w:rsidR="00D10877" w:rsidRPr="000A4031" w14:paraId="566D9BBA" w14:textId="77777777" w:rsidTr="00BD02DF">
        <w:tc>
          <w:tcPr>
            <w:tcW w:w="1814" w:type="dxa"/>
          </w:tcPr>
          <w:p w14:paraId="137DDE03" w14:textId="77777777" w:rsidR="00D10877" w:rsidRPr="00C4032A" w:rsidRDefault="00D10877" w:rsidP="00623F8C">
            <w:pPr>
              <w:spacing w:after="200" w:line="276" w:lineRule="auto"/>
              <w:rPr>
                <w:b/>
              </w:rPr>
            </w:pPr>
            <w:r w:rsidRPr="00C4032A">
              <w:rPr>
                <w:b/>
              </w:rPr>
              <w:t>Austria</w:t>
            </w:r>
          </w:p>
          <w:p w14:paraId="5EBAD362" w14:textId="77777777" w:rsidR="00D10877" w:rsidRPr="00C4032A" w:rsidRDefault="00D10877" w:rsidP="00403860">
            <w:pPr>
              <w:spacing w:after="200" w:line="276" w:lineRule="auto"/>
              <w:rPr>
                <w:rFonts w:cs="Calibri"/>
                <w:b/>
              </w:rPr>
            </w:pPr>
          </w:p>
        </w:tc>
        <w:tc>
          <w:tcPr>
            <w:tcW w:w="3114" w:type="dxa"/>
          </w:tcPr>
          <w:p w14:paraId="404C3C94" w14:textId="77777777" w:rsidR="00D10877" w:rsidRPr="004B5C29" w:rsidRDefault="00D10877" w:rsidP="000F1727">
            <w:pPr>
              <w:spacing w:after="200" w:line="276" w:lineRule="auto"/>
              <w:rPr>
                <w:rFonts w:cs="Arial"/>
              </w:rPr>
            </w:pPr>
            <w:r w:rsidRPr="004B5C29">
              <w:rPr>
                <w:rFonts w:cs="Arial"/>
              </w:rPr>
              <w:t>Yes.</w:t>
            </w:r>
          </w:p>
          <w:p w14:paraId="47BCDBC6" w14:textId="77777777" w:rsidR="00D10877" w:rsidRPr="001A2A5C" w:rsidRDefault="00D10877">
            <w:pPr>
              <w:shd w:val="clear" w:color="auto" w:fill="FFFFFF"/>
              <w:spacing w:after="200" w:line="276" w:lineRule="auto"/>
              <w:rPr>
                <w:rFonts w:cs="Calibri"/>
              </w:rPr>
            </w:pPr>
            <w:r w:rsidRPr="000D162E">
              <w:rPr>
                <w:rFonts w:cs="Arial"/>
              </w:rPr>
              <w:t xml:space="preserve">Flotation costs are generally deductible for corporate tax purposes without any restrictions (cf. </w:t>
            </w:r>
            <w:r w:rsidRPr="008A5778">
              <w:rPr>
                <w:rFonts w:cs="Arial"/>
              </w:rPr>
              <w:t>sec. 11 (1) (1) of the Austrian Corporate Income Tax Act).</w:t>
            </w:r>
          </w:p>
        </w:tc>
        <w:tc>
          <w:tcPr>
            <w:tcW w:w="4961" w:type="dxa"/>
          </w:tcPr>
          <w:p w14:paraId="334804E3" w14:textId="77777777" w:rsidR="00D10877" w:rsidRPr="001A2A5C" w:rsidRDefault="00D10877">
            <w:pPr>
              <w:spacing w:after="200" w:line="276" w:lineRule="auto"/>
              <w:rPr>
                <w:rFonts w:cs="Calibri"/>
              </w:rPr>
            </w:pPr>
            <w:r w:rsidRPr="001A2A5C">
              <w:rPr>
                <w:rFonts w:cs="Calibri"/>
              </w:rPr>
              <w:t>Yes.</w:t>
            </w:r>
          </w:p>
          <w:p w14:paraId="6CF036A7" w14:textId="77777777" w:rsidR="00D10877" w:rsidRPr="001A2A5C" w:rsidRDefault="00D10877">
            <w:pPr>
              <w:shd w:val="clear" w:color="auto" w:fill="FFFFFF"/>
              <w:spacing w:after="200" w:line="276" w:lineRule="auto"/>
              <w:rPr>
                <w:rFonts w:cs="Calibri"/>
              </w:rPr>
            </w:pPr>
            <w:r w:rsidRPr="001A2A5C">
              <w:rPr>
                <w:rFonts w:cs="Arial"/>
              </w:rPr>
              <w:t>The costs of issuing new equity are generally deductible for corporate tax purposes without any restrictions (cf. sec. 11 (1) (1) of the Austrian Corporate Income Tax Act).</w:t>
            </w:r>
          </w:p>
        </w:tc>
      </w:tr>
      <w:tr w:rsidR="00D10877" w:rsidRPr="000A4031" w14:paraId="73FC09CD" w14:textId="77777777" w:rsidTr="00BD02DF">
        <w:tc>
          <w:tcPr>
            <w:tcW w:w="1814" w:type="dxa"/>
          </w:tcPr>
          <w:p w14:paraId="45FC2089" w14:textId="77777777" w:rsidR="00D10877" w:rsidRPr="00C4032A" w:rsidRDefault="00D10877" w:rsidP="00623F8C">
            <w:pPr>
              <w:spacing w:after="200" w:line="276" w:lineRule="auto"/>
              <w:rPr>
                <w:b/>
              </w:rPr>
            </w:pPr>
            <w:r w:rsidRPr="00C4032A">
              <w:rPr>
                <w:b/>
              </w:rPr>
              <w:t>Belgium</w:t>
            </w:r>
          </w:p>
          <w:p w14:paraId="74790C2C" w14:textId="77777777" w:rsidR="00D10877" w:rsidRPr="00C4032A" w:rsidRDefault="00D10877" w:rsidP="00403860">
            <w:pPr>
              <w:spacing w:after="200" w:line="276" w:lineRule="auto"/>
              <w:rPr>
                <w:rFonts w:cs="Calibri"/>
                <w:b/>
              </w:rPr>
            </w:pPr>
          </w:p>
        </w:tc>
        <w:tc>
          <w:tcPr>
            <w:tcW w:w="3114" w:type="dxa"/>
          </w:tcPr>
          <w:p w14:paraId="62D4DD1B" w14:textId="77777777" w:rsidR="00D10877" w:rsidRPr="008A5778" w:rsidRDefault="00D10877" w:rsidP="000F1727">
            <w:pPr>
              <w:spacing w:after="200" w:line="276" w:lineRule="auto"/>
            </w:pPr>
            <w:r w:rsidRPr="008A5778">
              <w:t>Yes.</w:t>
            </w:r>
          </w:p>
          <w:p w14:paraId="1B334F05" w14:textId="77777777" w:rsidR="00D10877" w:rsidRPr="001A2A5C" w:rsidRDefault="00D10877">
            <w:pPr>
              <w:spacing w:after="200" w:line="276" w:lineRule="auto"/>
              <w:rPr>
                <w:rFonts w:cs="Calibri"/>
              </w:rPr>
            </w:pPr>
            <w:r w:rsidRPr="001A2A5C">
              <w:t>Flotation costs and, more generally, restructuring costs can be tax deductible if incurred to develop taxable income.</w:t>
            </w:r>
          </w:p>
        </w:tc>
        <w:tc>
          <w:tcPr>
            <w:tcW w:w="4961" w:type="dxa"/>
          </w:tcPr>
          <w:p w14:paraId="1A6B301C" w14:textId="77777777" w:rsidR="00D10877" w:rsidRPr="001A2A5C" w:rsidRDefault="00D10877">
            <w:pPr>
              <w:pStyle w:val="BodyText"/>
              <w:spacing w:after="200" w:line="276" w:lineRule="auto"/>
              <w:jc w:val="left"/>
              <w:rPr>
                <w:rFonts w:ascii="Calibri" w:hAnsi="Calibri"/>
                <w:b w:val="0"/>
                <w:color w:val="auto"/>
                <w:szCs w:val="22"/>
              </w:rPr>
            </w:pPr>
            <w:r w:rsidRPr="001A2A5C">
              <w:rPr>
                <w:rFonts w:ascii="Calibri" w:hAnsi="Calibri"/>
                <w:b w:val="0"/>
                <w:color w:val="auto"/>
                <w:szCs w:val="22"/>
              </w:rPr>
              <w:t xml:space="preserve">Yes. </w:t>
            </w:r>
          </w:p>
          <w:p w14:paraId="1D216BFB" w14:textId="77777777" w:rsidR="00D10877" w:rsidRPr="001A2A5C" w:rsidRDefault="00D10877">
            <w:pPr>
              <w:pStyle w:val="BodyText"/>
              <w:spacing w:after="200" w:line="276" w:lineRule="auto"/>
              <w:jc w:val="left"/>
              <w:rPr>
                <w:rFonts w:ascii="Calibri" w:hAnsi="Calibri"/>
                <w:b w:val="0"/>
                <w:color w:val="auto"/>
                <w:szCs w:val="22"/>
              </w:rPr>
            </w:pPr>
            <w:r w:rsidRPr="001A2A5C">
              <w:rPr>
                <w:rFonts w:ascii="Calibri" w:hAnsi="Calibri"/>
                <w:b w:val="0"/>
                <w:color w:val="auto"/>
                <w:szCs w:val="22"/>
              </w:rPr>
              <w:t>In order to align the tax treatment of equity financing on the one hand and debt financing on the other, the Belgian legislation provides for a notional interest deduction (“</w:t>
            </w:r>
            <w:proofErr w:type="spellStart"/>
            <w:r w:rsidRPr="001A2A5C">
              <w:rPr>
                <w:rFonts w:ascii="Calibri" w:hAnsi="Calibri"/>
                <w:b w:val="0"/>
                <w:color w:val="auto"/>
                <w:szCs w:val="22"/>
              </w:rPr>
              <w:t>Déduction</w:t>
            </w:r>
            <w:proofErr w:type="spellEnd"/>
            <w:r w:rsidRPr="001A2A5C">
              <w:rPr>
                <w:rFonts w:ascii="Calibri" w:hAnsi="Calibri"/>
                <w:b w:val="0"/>
                <w:color w:val="auto"/>
                <w:szCs w:val="22"/>
              </w:rPr>
              <w:t xml:space="preserve"> pour capital à </w:t>
            </w:r>
            <w:proofErr w:type="spellStart"/>
            <w:r w:rsidRPr="001A2A5C">
              <w:rPr>
                <w:rFonts w:ascii="Calibri" w:hAnsi="Calibri"/>
                <w:b w:val="0"/>
                <w:color w:val="auto"/>
                <w:szCs w:val="22"/>
              </w:rPr>
              <w:t>risque</w:t>
            </w:r>
            <w:proofErr w:type="spellEnd"/>
            <w:r w:rsidRPr="001A2A5C">
              <w:rPr>
                <w:rFonts w:ascii="Calibri" w:hAnsi="Calibri"/>
                <w:b w:val="0"/>
                <w:color w:val="auto"/>
                <w:szCs w:val="22"/>
              </w:rPr>
              <w:t>” – “</w:t>
            </w:r>
            <w:proofErr w:type="spellStart"/>
            <w:r w:rsidRPr="001A2A5C">
              <w:rPr>
                <w:rFonts w:ascii="Calibri" w:hAnsi="Calibri"/>
                <w:b w:val="0"/>
                <w:color w:val="auto"/>
                <w:szCs w:val="22"/>
              </w:rPr>
              <w:t>Aftrek</w:t>
            </w:r>
            <w:proofErr w:type="spellEnd"/>
            <w:r w:rsidRPr="001A2A5C">
              <w:rPr>
                <w:rFonts w:ascii="Calibri" w:hAnsi="Calibri"/>
                <w:b w:val="0"/>
                <w:color w:val="auto"/>
                <w:szCs w:val="22"/>
              </w:rPr>
              <w:t xml:space="preserve"> </w:t>
            </w:r>
            <w:proofErr w:type="spellStart"/>
            <w:r w:rsidRPr="001A2A5C">
              <w:rPr>
                <w:rFonts w:ascii="Calibri" w:hAnsi="Calibri"/>
                <w:b w:val="0"/>
                <w:color w:val="auto"/>
                <w:szCs w:val="22"/>
              </w:rPr>
              <w:t>voor</w:t>
            </w:r>
            <w:proofErr w:type="spellEnd"/>
            <w:r w:rsidRPr="001A2A5C">
              <w:rPr>
                <w:rFonts w:ascii="Calibri" w:hAnsi="Calibri"/>
                <w:b w:val="0"/>
                <w:color w:val="auto"/>
                <w:szCs w:val="22"/>
              </w:rPr>
              <w:t xml:space="preserve"> </w:t>
            </w:r>
            <w:proofErr w:type="spellStart"/>
            <w:r w:rsidRPr="001A2A5C">
              <w:rPr>
                <w:rFonts w:ascii="Calibri" w:hAnsi="Calibri"/>
                <w:b w:val="0"/>
                <w:color w:val="auto"/>
                <w:szCs w:val="22"/>
              </w:rPr>
              <w:t>risicokapitaal</w:t>
            </w:r>
            <w:proofErr w:type="spellEnd"/>
            <w:r w:rsidRPr="001A2A5C">
              <w:rPr>
                <w:rFonts w:ascii="Calibri" w:hAnsi="Calibri"/>
                <w:b w:val="0"/>
                <w:color w:val="auto"/>
                <w:szCs w:val="22"/>
              </w:rPr>
              <w:t xml:space="preserve">” or “NID) according to which companies are entitled to deduct a certain percentage (“NID rate”) of their adjusted net equity from their taxable income base. </w:t>
            </w:r>
          </w:p>
          <w:p w14:paraId="26382C70" w14:textId="77777777" w:rsidR="00D10877" w:rsidRPr="00835FD8" w:rsidRDefault="00D10877">
            <w:pPr>
              <w:spacing w:after="200" w:line="276" w:lineRule="auto"/>
            </w:pPr>
            <w:r w:rsidRPr="00835FD8">
              <w:t>The company’s adjusted net equity is calculated on the basis of the capital shown on its balance sheet at the end of the preceding taxable period, adjusted by excluding certain items from the net equity amount (e.g. company’s own shares, shares in other companies that qualify as financial fixed assets, capital subsidies, etc.).</w:t>
            </w:r>
          </w:p>
          <w:p w14:paraId="540D9DA0" w14:textId="77777777" w:rsidR="00D10877" w:rsidRPr="00835FD8" w:rsidRDefault="00D10877">
            <w:pPr>
              <w:pStyle w:val="BodyText"/>
              <w:spacing w:after="200" w:line="276" w:lineRule="auto"/>
              <w:jc w:val="left"/>
              <w:rPr>
                <w:rFonts w:ascii="Calibri" w:hAnsi="Calibri"/>
                <w:b w:val="0"/>
                <w:color w:val="auto"/>
                <w:szCs w:val="22"/>
              </w:rPr>
            </w:pPr>
            <w:r w:rsidRPr="00835FD8">
              <w:rPr>
                <w:rFonts w:ascii="Calibri" w:hAnsi="Calibri"/>
                <w:b w:val="0"/>
                <w:color w:val="auto"/>
                <w:szCs w:val="22"/>
              </w:rPr>
              <w:t>The applicable NID rate for tax assessment 2018 (income 2017) is 0.237% for large companies and 0.737% for small and medium sized companies.</w:t>
            </w:r>
          </w:p>
          <w:p w14:paraId="2964F445" w14:textId="77777777" w:rsidR="00D10877" w:rsidRPr="00835FD8" w:rsidRDefault="00D10877">
            <w:pPr>
              <w:pStyle w:val="BodyText"/>
              <w:spacing w:after="200" w:line="276" w:lineRule="auto"/>
              <w:rPr>
                <w:rFonts w:ascii="Calibri" w:hAnsi="Calibri"/>
                <w:b w:val="0"/>
                <w:color w:val="auto"/>
                <w:szCs w:val="22"/>
              </w:rPr>
            </w:pPr>
            <w:r w:rsidRPr="00835FD8">
              <w:rPr>
                <w:rFonts w:ascii="Calibri" w:hAnsi="Calibri"/>
                <w:b w:val="0"/>
                <w:color w:val="auto"/>
                <w:szCs w:val="22"/>
              </w:rPr>
              <w:t xml:space="preserve">As from 2018, the qualifying net equity on which the NID rate will apply will be equal to the adjusted net equity which has accrued over the previous five taxable periods (so-called “incremental equity”). </w:t>
            </w:r>
          </w:p>
          <w:p w14:paraId="20FBB92F" w14:textId="77777777" w:rsidR="00D10877" w:rsidRPr="001A2A5C" w:rsidRDefault="00D10877">
            <w:pPr>
              <w:spacing w:after="200" w:line="276" w:lineRule="auto"/>
            </w:pPr>
            <w:r w:rsidRPr="00835FD8">
              <w:t xml:space="preserve">In other words, the NID regime will effectively allow for a deduction, provided that the eligible adjusted net equity has given rise to a surplus (upon which </w:t>
            </w:r>
            <w:r w:rsidRPr="00835FD8">
              <w:lastRenderedPageBreak/>
              <w:t xml:space="preserve">the NID rate will apply), in comparison with the average adjusted net equity of the previous five </w:t>
            </w:r>
            <w:r w:rsidRPr="001A2A5C">
              <w:t>taxable periods.</w:t>
            </w:r>
          </w:p>
        </w:tc>
      </w:tr>
      <w:tr w:rsidR="00D10877" w:rsidRPr="000A4031" w14:paraId="56D98C0A" w14:textId="77777777" w:rsidTr="00BD02DF">
        <w:tc>
          <w:tcPr>
            <w:tcW w:w="1814" w:type="dxa"/>
          </w:tcPr>
          <w:p w14:paraId="2710F37D" w14:textId="77777777" w:rsidR="00D10877" w:rsidRPr="00C4032A" w:rsidRDefault="00D10877" w:rsidP="00623F8C">
            <w:pPr>
              <w:spacing w:after="200" w:line="276" w:lineRule="auto"/>
              <w:rPr>
                <w:b/>
              </w:rPr>
            </w:pPr>
            <w:r w:rsidRPr="00C4032A">
              <w:rPr>
                <w:b/>
              </w:rPr>
              <w:lastRenderedPageBreak/>
              <w:t>Bulgaria</w:t>
            </w:r>
          </w:p>
          <w:p w14:paraId="5059B92F" w14:textId="77777777" w:rsidR="00D10877" w:rsidRPr="00C4032A" w:rsidRDefault="00D10877" w:rsidP="00403860">
            <w:pPr>
              <w:spacing w:after="200" w:line="276" w:lineRule="auto"/>
              <w:rPr>
                <w:rFonts w:cs="Calibri"/>
                <w:b/>
              </w:rPr>
            </w:pPr>
          </w:p>
        </w:tc>
        <w:tc>
          <w:tcPr>
            <w:tcW w:w="3114" w:type="dxa"/>
          </w:tcPr>
          <w:p w14:paraId="1D221173" w14:textId="77777777" w:rsidR="00D10877" w:rsidRPr="000D162E" w:rsidRDefault="00D10877" w:rsidP="000F1727">
            <w:pPr>
              <w:spacing w:after="200" w:line="276" w:lineRule="auto"/>
            </w:pPr>
            <w:r w:rsidRPr="000D162E">
              <w:t>Yes.</w:t>
            </w:r>
          </w:p>
          <w:p w14:paraId="3F04264B" w14:textId="77777777" w:rsidR="00D10877" w:rsidRPr="001A2A5C" w:rsidRDefault="00D10877">
            <w:pPr>
              <w:spacing w:after="200" w:line="276" w:lineRule="auto"/>
            </w:pPr>
            <w:r w:rsidRPr="008A5778">
              <w:t>Flotation costs (i.e. costs incurred by a publicly trad</w:t>
            </w:r>
            <w:r w:rsidRPr="001A2A5C">
              <w:t>ed company with regards to issuing new securities) are not subject to a specific tax regime in Bulgaria and are generally deductible for corporate tax purposes.</w:t>
            </w:r>
          </w:p>
        </w:tc>
        <w:tc>
          <w:tcPr>
            <w:tcW w:w="4961" w:type="dxa"/>
          </w:tcPr>
          <w:p w14:paraId="1D3DE9F5" w14:textId="77777777" w:rsidR="00D10877" w:rsidRPr="001A2A5C" w:rsidRDefault="00D10877">
            <w:pPr>
              <w:spacing w:after="200" w:line="276" w:lineRule="auto"/>
            </w:pPr>
            <w:r w:rsidRPr="001A2A5C">
              <w:t>Yes.</w:t>
            </w:r>
          </w:p>
          <w:p w14:paraId="6B452641" w14:textId="77777777" w:rsidR="00D10877" w:rsidRPr="001A2A5C" w:rsidRDefault="00D10877">
            <w:pPr>
              <w:spacing w:after="200" w:line="276" w:lineRule="auto"/>
            </w:pPr>
            <w:r w:rsidRPr="001A2A5C">
              <w:t>The costs of issuing new equity should generally be tax deductible for corporate tax purposes.</w:t>
            </w:r>
          </w:p>
        </w:tc>
      </w:tr>
      <w:tr w:rsidR="00D10877" w:rsidRPr="000A4031" w14:paraId="20E9A615" w14:textId="77777777" w:rsidTr="00BD02DF">
        <w:tc>
          <w:tcPr>
            <w:tcW w:w="1814" w:type="dxa"/>
          </w:tcPr>
          <w:p w14:paraId="72DE425B" w14:textId="77777777" w:rsidR="00D10877" w:rsidRPr="00110574" w:rsidRDefault="00D10877" w:rsidP="00623F8C">
            <w:pPr>
              <w:spacing w:after="200" w:line="276" w:lineRule="auto"/>
              <w:rPr>
                <w:rFonts w:cs="Calibri"/>
                <w:b/>
              </w:rPr>
            </w:pPr>
            <w:r w:rsidRPr="00110574">
              <w:rPr>
                <w:rFonts w:cs="Calibri"/>
                <w:b/>
              </w:rPr>
              <w:t>France</w:t>
            </w:r>
          </w:p>
          <w:p w14:paraId="53A49E62" w14:textId="77777777" w:rsidR="00D10877" w:rsidRPr="00C4032A" w:rsidRDefault="00D10877" w:rsidP="00623F8C">
            <w:pPr>
              <w:spacing w:after="200" w:line="276" w:lineRule="auto"/>
              <w:rPr>
                <w:rFonts w:cs="Calibri"/>
                <w:b/>
              </w:rPr>
            </w:pPr>
          </w:p>
        </w:tc>
        <w:tc>
          <w:tcPr>
            <w:tcW w:w="3114" w:type="dxa"/>
          </w:tcPr>
          <w:p w14:paraId="6D5D0338" w14:textId="77777777" w:rsidR="00D10877" w:rsidRPr="004B5C29" w:rsidRDefault="00D10877" w:rsidP="00623F8C">
            <w:pPr>
              <w:pStyle w:val="BodyText"/>
              <w:spacing w:after="200" w:line="276" w:lineRule="auto"/>
              <w:jc w:val="left"/>
              <w:rPr>
                <w:rFonts w:ascii="Calibri" w:hAnsi="Calibri"/>
                <w:b w:val="0"/>
                <w:color w:val="auto"/>
                <w:szCs w:val="22"/>
              </w:rPr>
            </w:pPr>
            <w:r w:rsidRPr="004B5C29">
              <w:rPr>
                <w:rFonts w:ascii="Calibri" w:hAnsi="Calibri"/>
                <w:b w:val="0"/>
                <w:szCs w:val="22"/>
              </w:rPr>
              <w:t>Yes.</w:t>
            </w:r>
          </w:p>
        </w:tc>
        <w:tc>
          <w:tcPr>
            <w:tcW w:w="4961" w:type="dxa"/>
          </w:tcPr>
          <w:p w14:paraId="24517195" w14:textId="77777777" w:rsidR="00D10877" w:rsidRPr="004B5C29" w:rsidRDefault="00D10877" w:rsidP="00623F8C">
            <w:pPr>
              <w:spacing w:after="200" w:line="276" w:lineRule="auto"/>
              <w:rPr>
                <w:lang w:val="en-US" w:eastAsia="fr-FR"/>
              </w:rPr>
            </w:pPr>
            <w:r w:rsidRPr="004B5C29">
              <w:rPr>
                <w:bCs/>
                <w:color w:val="000000"/>
                <w:lang w:val="en-US" w:eastAsia="fr-FR"/>
              </w:rPr>
              <w:t>Yes.</w:t>
            </w:r>
            <w:r w:rsidRPr="004B5C29">
              <w:rPr>
                <w:color w:val="000000"/>
                <w:lang w:val="en-US" w:eastAsia="fr-FR"/>
              </w:rPr>
              <w:br/>
            </w:r>
            <w:r w:rsidRPr="004B5C29">
              <w:rPr>
                <w:color w:val="000000"/>
                <w:lang w:val="en-US" w:eastAsia="fr-FR"/>
              </w:rPr>
              <w:br/>
              <w:t xml:space="preserve">The costs of issuing new equity are deductible expenses for the financial year in which the costs are incurred. The </w:t>
            </w:r>
            <w:r w:rsidRPr="004B5C29">
              <w:rPr>
                <w:lang w:val="en-US" w:eastAsia="fr-FR"/>
              </w:rPr>
              <w:t xml:space="preserve">taxpayer may also elect to </w:t>
            </w:r>
            <w:proofErr w:type="spellStart"/>
            <w:r w:rsidRPr="004B5C29">
              <w:rPr>
                <w:lang w:val="en-US" w:eastAsia="fr-FR"/>
              </w:rPr>
              <w:t>capitalise</w:t>
            </w:r>
            <w:proofErr w:type="spellEnd"/>
            <w:r w:rsidRPr="004B5C29">
              <w:rPr>
                <w:lang w:val="en-US" w:eastAsia="fr-FR"/>
              </w:rPr>
              <w:t xml:space="preserve"> those costs and </w:t>
            </w:r>
            <w:proofErr w:type="spellStart"/>
            <w:r w:rsidRPr="004B5C29">
              <w:rPr>
                <w:lang w:val="en-US" w:eastAsia="fr-FR"/>
              </w:rPr>
              <w:t>amortise</w:t>
            </w:r>
            <w:proofErr w:type="spellEnd"/>
            <w:r w:rsidRPr="004B5C29">
              <w:rPr>
                <w:lang w:val="en-US" w:eastAsia="fr-FR"/>
              </w:rPr>
              <w:t xml:space="preserve"> them over a maximum period of 5 years from an accounting and tax perspective.</w:t>
            </w:r>
            <w:r w:rsidRPr="004B5C29">
              <w:rPr>
                <w:lang w:val="en-US" w:eastAsia="fr-FR"/>
              </w:rPr>
              <w:br/>
            </w:r>
            <w:r w:rsidRPr="004B5C29">
              <w:rPr>
                <w:lang w:val="en-US" w:eastAsia="fr-FR"/>
              </w:rPr>
              <w:br/>
              <w:t xml:space="preserve">Generally there is no cap on the amount of the deduction that can be obtained. However, such costs are not deductible in specific cases where they are not incurred in the interests of the company, </w:t>
            </w:r>
            <w:r w:rsidRPr="004B5C29">
              <w:rPr>
                <w:i/>
                <w:iCs/>
                <w:lang w:val="en-US" w:eastAsia="fr-FR"/>
              </w:rPr>
              <w:t>e.g.</w:t>
            </w:r>
            <w:r w:rsidRPr="004B5C29">
              <w:rPr>
                <w:lang w:val="en-US" w:eastAsia="fr-FR"/>
              </w:rPr>
              <w:t xml:space="preserve"> upon capital reduction followed by a </w:t>
            </w:r>
            <w:proofErr w:type="spellStart"/>
            <w:r w:rsidRPr="004B5C29">
              <w:rPr>
                <w:lang w:val="en-US" w:eastAsia="fr-FR"/>
              </w:rPr>
              <w:t>capitalisation</w:t>
            </w:r>
            <w:proofErr w:type="spellEnd"/>
            <w:r w:rsidRPr="004B5C29">
              <w:rPr>
                <w:lang w:val="en-US" w:eastAsia="fr-FR"/>
              </w:rPr>
              <w:t xml:space="preserve"> of retained earnings (which protects only the interests of shareholders).</w:t>
            </w:r>
            <w:r w:rsidRPr="004B5C29">
              <w:rPr>
                <w:lang w:val="en-US" w:eastAsia="fr-FR"/>
              </w:rPr>
              <w:br/>
            </w:r>
            <w:r w:rsidRPr="004B5C29">
              <w:rPr>
                <w:lang w:val="en-US" w:eastAsia="fr-FR"/>
              </w:rPr>
              <w:br/>
              <w:t xml:space="preserve">The deduction works as follows. The costs of raising equity are considered as general expenses and are included in the P&amp;L of the company. </w:t>
            </w:r>
          </w:p>
          <w:p w14:paraId="1A9D06D5" w14:textId="77777777" w:rsidR="00F27B7A" w:rsidRPr="006708B7" w:rsidRDefault="00D10877" w:rsidP="00623F8C">
            <w:pPr>
              <w:pStyle w:val="ListParagraph"/>
              <w:numPr>
                <w:ilvl w:val="0"/>
                <w:numId w:val="9"/>
              </w:numPr>
              <w:shd w:val="clear" w:color="auto" w:fill="FFFFFF"/>
              <w:spacing w:after="200" w:line="276" w:lineRule="auto"/>
              <w:ind w:left="601" w:hanging="284"/>
              <w:contextualSpacing w:val="0"/>
              <w:rPr>
                <w:rFonts w:cs="Arial"/>
              </w:rPr>
            </w:pPr>
            <w:r w:rsidRPr="004B5C29">
              <w:rPr>
                <w:lang w:val="en-US" w:eastAsia="fr-FR"/>
              </w:rPr>
              <w:t>Costs of raising new equity can also, from an accounting perspective, be offset against the share premium issued. In that case, such costs may however be deducted from as a pure tax deduction (without any P&amp;L entry).</w:t>
            </w:r>
          </w:p>
          <w:p w14:paraId="637F2CE1" w14:textId="0DA1FE14" w:rsidR="006708B7" w:rsidRPr="006708B7" w:rsidRDefault="006708B7" w:rsidP="00623F8C">
            <w:pPr>
              <w:shd w:val="clear" w:color="auto" w:fill="FFFFFF"/>
              <w:spacing w:after="200"/>
              <w:rPr>
                <w:rFonts w:cs="Arial"/>
              </w:rPr>
            </w:pPr>
          </w:p>
        </w:tc>
      </w:tr>
      <w:tr w:rsidR="00D10877" w:rsidRPr="000A4031" w14:paraId="5456A994" w14:textId="77777777" w:rsidTr="00BD02DF">
        <w:tc>
          <w:tcPr>
            <w:tcW w:w="1814" w:type="dxa"/>
          </w:tcPr>
          <w:p w14:paraId="3E952E26" w14:textId="77777777" w:rsidR="00D10877" w:rsidRPr="00110574" w:rsidRDefault="00D10877" w:rsidP="00623F8C">
            <w:pPr>
              <w:spacing w:after="200" w:line="276" w:lineRule="auto"/>
              <w:rPr>
                <w:rFonts w:cs="Calibri"/>
                <w:b/>
              </w:rPr>
            </w:pPr>
            <w:r w:rsidRPr="00110574">
              <w:rPr>
                <w:rFonts w:cs="Calibri"/>
                <w:b/>
              </w:rPr>
              <w:t>Germany</w:t>
            </w:r>
          </w:p>
          <w:p w14:paraId="7C183C52" w14:textId="77777777" w:rsidR="00D10877" w:rsidRPr="00110574" w:rsidRDefault="00D10877" w:rsidP="00403860">
            <w:pPr>
              <w:spacing w:after="200" w:line="276" w:lineRule="auto"/>
              <w:rPr>
                <w:rFonts w:cs="Calibri"/>
                <w:b/>
              </w:rPr>
            </w:pPr>
          </w:p>
        </w:tc>
        <w:tc>
          <w:tcPr>
            <w:tcW w:w="3114" w:type="dxa"/>
          </w:tcPr>
          <w:p w14:paraId="48CF11CC" w14:textId="77777777" w:rsidR="00D10877" w:rsidRPr="004B5C29" w:rsidRDefault="00D10877" w:rsidP="000F1727">
            <w:pPr>
              <w:spacing w:after="200" w:line="276" w:lineRule="auto"/>
              <w:rPr>
                <w:rFonts w:cs="Arial"/>
              </w:rPr>
            </w:pPr>
            <w:r w:rsidRPr="004B5C29">
              <w:rPr>
                <w:rFonts w:cs="Arial"/>
              </w:rPr>
              <w:lastRenderedPageBreak/>
              <w:t>Yes.</w:t>
            </w:r>
          </w:p>
          <w:p w14:paraId="4AEA8A43" w14:textId="77777777" w:rsidR="00D10877" w:rsidRPr="008A5778" w:rsidRDefault="00D10877">
            <w:pPr>
              <w:spacing w:after="200" w:line="276" w:lineRule="auto"/>
              <w:rPr>
                <w:rFonts w:cs="Arial"/>
              </w:rPr>
            </w:pPr>
            <w:r w:rsidRPr="000D162E">
              <w:rPr>
                <w:rFonts w:cs="Arial"/>
              </w:rPr>
              <w:lastRenderedPageBreak/>
              <w:t>Flotation costs (underwriting fees, mana</w:t>
            </w:r>
            <w:r w:rsidRPr="008A5778">
              <w:rPr>
                <w:rFonts w:cs="Arial"/>
              </w:rPr>
              <w:t>gement fees, selling concessions, legal fees and registration fees) for primary offerings are deductible as business expenses.</w:t>
            </w:r>
          </w:p>
          <w:p w14:paraId="22C70D4D" w14:textId="77777777" w:rsidR="00D10877" w:rsidRPr="001A2A5C" w:rsidRDefault="00D10877">
            <w:pPr>
              <w:spacing w:after="200" w:line="276" w:lineRule="auto"/>
              <w:rPr>
                <w:rFonts w:cs="Arial"/>
              </w:rPr>
            </w:pPr>
            <w:r w:rsidRPr="001A2A5C">
              <w:rPr>
                <w:rFonts w:cs="Arial"/>
              </w:rPr>
              <w:t>The same is true for secondary offerings if they are conducted mainly in the interests of the company (this is usually the case).</w:t>
            </w:r>
          </w:p>
          <w:p w14:paraId="4955F819" w14:textId="77777777" w:rsidR="00D10877" w:rsidRPr="001A2A5C" w:rsidRDefault="00D10877">
            <w:pPr>
              <w:spacing w:after="200" w:line="276" w:lineRule="auto"/>
              <w:rPr>
                <w:rFonts w:cs="Calibri"/>
              </w:rPr>
            </w:pPr>
          </w:p>
        </w:tc>
        <w:tc>
          <w:tcPr>
            <w:tcW w:w="4961" w:type="dxa"/>
          </w:tcPr>
          <w:p w14:paraId="021BA89C" w14:textId="77777777" w:rsidR="00D10877" w:rsidRPr="001A2A5C" w:rsidRDefault="00D10877">
            <w:pPr>
              <w:spacing w:after="200" w:line="276" w:lineRule="auto"/>
              <w:rPr>
                <w:rFonts w:cs="Arial"/>
              </w:rPr>
            </w:pPr>
            <w:r w:rsidRPr="001A2A5C">
              <w:rPr>
                <w:rFonts w:cs="Arial"/>
              </w:rPr>
              <w:lastRenderedPageBreak/>
              <w:t>Yes.</w:t>
            </w:r>
          </w:p>
          <w:p w14:paraId="7A200DC2" w14:textId="77777777" w:rsidR="00D10877" w:rsidRPr="001A2A5C" w:rsidRDefault="00D10877">
            <w:pPr>
              <w:spacing w:after="200" w:line="276" w:lineRule="auto"/>
              <w:rPr>
                <w:rFonts w:cs="Arial"/>
              </w:rPr>
            </w:pPr>
            <w:r w:rsidRPr="001A2A5C">
              <w:rPr>
                <w:rFonts w:cs="Arial"/>
              </w:rPr>
              <w:lastRenderedPageBreak/>
              <w:t>In general, all costs of issuing new equity are deductible for corporate tax purposes.</w:t>
            </w:r>
          </w:p>
          <w:p w14:paraId="3ABCC84F" w14:textId="77777777" w:rsidR="00D10877" w:rsidRPr="001A2A5C" w:rsidRDefault="00D10877">
            <w:pPr>
              <w:spacing w:after="200" w:line="276" w:lineRule="auto"/>
              <w:rPr>
                <w:rFonts w:cs="Arial"/>
              </w:rPr>
            </w:pPr>
            <w:r w:rsidRPr="001A2A5C">
              <w:rPr>
                <w:rFonts w:cs="Arial"/>
              </w:rPr>
              <w:t>Generally, there is no financial cap on the availability of the deduction.</w:t>
            </w:r>
          </w:p>
          <w:p w14:paraId="775D60C7" w14:textId="77777777" w:rsidR="00D10877" w:rsidRPr="00835FD8" w:rsidRDefault="00D10877">
            <w:pPr>
              <w:shd w:val="clear" w:color="auto" w:fill="FFFFFF"/>
              <w:spacing w:after="200" w:line="276" w:lineRule="auto"/>
              <w:rPr>
                <w:rFonts w:cs="Arial"/>
              </w:rPr>
            </w:pPr>
            <w:r w:rsidRPr="001A2A5C">
              <w:rPr>
                <w:rFonts w:cs="Arial"/>
              </w:rPr>
              <w:t>Only costs that are directly related to the acquisition of shares by shareholders (e.g.</w:t>
            </w:r>
            <w:r w:rsidRPr="00835FD8">
              <w:rPr>
                <w:rFonts w:cs="Arial"/>
              </w:rPr>
              <w:t xml:space="preserve"> notarisation costs for a takeover agreement, if notarised separately) may be treated as a hidden profit distribution when paid by the company (and therefore not subject to relief). If the costs are not directly linked to the respective shareholders then the costs are deductible business expenses.</w:t>
            </w:r>
          </w:p>
        </w:tc>
      </w:tr>
      <w:tr w:rsidR="00D10877" w:rsidRPr="000A4031" w14:paraId="3F89048C" w14:textId="77777777" w:rsidTr="00BD02DF">
        <w:tc>
          <w:tcPr>
            <w:tcW w:w="1814" w:type="dxa"/>
          </w:tcPr>
          <w:p w14:paraId="1BB47333" w14:textId="77777777" w:rsidR="00D10877" w:rsidRPr="00C4032A" w:rsidRDefault="00D10877" w:rsidP="00623F8C">
            <w:pPr>
              <w:spacing w:after="200" w:line="276" w:lineRule="auto"/>
              <w:rPr>
                <w:rFonts w:cs="Calibri"/>
                <w:b/>
              </w:rPr>
            </w:pPr>
            <w:r w:rsidRPr="00110574">
              <w:rPr>
                <w:rFonts w:cs="Calibri"/>
                <w:b/>
              </w:rPr>
              <w:lastRenderedPageBreak/>
              <w:t>Greece</w:t>
            </w:r>
          </w:p>
        </w:tc>
        <w:tc>
          <w:tcPr>
            <w:tcW w:w="3114" w:type="dxa"/>
          </w:tcPr>
          <w:p w14:paraId="74B43C99" w14:textId="77777777" w:rsidR="00D10877" w:rsidRPr="004B5C29" w:rsidRDefault="00D10877" w:rsidP="00403860">
            <w:pPr>
              <w:spacing w:after="200" w:line="276" w:lineRule="auto"/>
              <w:rPr>
                <w:rFonts w:cs="Calibri"/>
              </w:rPr>
            </w:pPr>
            <w:r w:rsidRPr="004B5C29">
              <w:rPr>
                <w:rFonts w:cs="Calibri"/>
              </w:rPr>
              <w:t>Yes.</w:t>
            </w:r>
          </w:p>
        </w:tc>
        <w:tc>
          <w:tcPr>
            <w:tcW w:w="4961" w:type="dxa"/>
          </w:tcPr>
          <w:p w14:paraId="4185A7F4" w14:textId="77777777" w:rsidR="00D10877" w:rsidRPr="008A5778" w:rsidRDefault="00D10877" w:rsidP="000F1727">
            <w:pPr>
              <w:spacing w:after="200" w:line="276" w:lineRule="auto"/>
              <w:rPr>
                <w:rFonts w:cs="Calibri"/>
              </w:rPr>
            </w:pPr>
            <w:r w:rsidRPr="000D162E">
              <w:rPr>
                <w:rFonts w:cs="Calibri"/>
              </w:rPr>
              <w:t>Yes.</w:t>
            </w:r>
          </w:p>
        </w:tc>
      </w:tr>
      <w:tr w:rsidR="00D10877" w:rsidRPr="000A4031" w14:paraId="728E8625" w14:textId="77777777" w:rsidTr="00BD02DF">
        <w:tc>
          <w:tcPr>
            <w:tcW w:w="1814" w:type="dxa"/>
          </w:tcPr>
          <w:p w14:paraId="06803E96" w14:textId="77777777" w:rsidR="00D10877" w:rsidRPr="00110574" w:rsidRDefault="00D10877" w:rsidP="00623F8C">
            <w:pPr>
              <w:spacing w:after="200" w:line="276" w:lineRule="auto"/>
              <w:rPr>
                <w:rFonts w:cs="Calibri"/>
                <w:b/>
              </w:rPr>
            </w:pPr>
            <w:r w:rsidRPr="00110574">
              <w:rPr>
                <w:rFonts w:cs="Calibri"/>
                <w:b/>
              </w:rPr>
              <w:t>Hungary</w:t>
            </w:r>
          </w:p>
          <w:p w14:paraId="00EDBE2A" w14:textId="77777777" w:rsidR="00D10877" w:rsidRPr="00C4032A" w:rsidRDefault="00D10877" w:rsidP="00403860">
            <w:pPr>
              <w:spacing w:after="200" w:line="276" w:lineRule="auto"/>
              <w:rPr>
                <w:rFonts w:cs="Calibri"/>
                <w:b/>
              </w:rPr>
            </w:pPr>
          </w:p>
        </w:tc>
        <w:tc>
          <w:tcPr>
            <w:tcW w:w="3114" w:type="dxa"/>
          </w:tcPr>
          <w:p w14:paraId="3BA4F12E" w14:textId="77777777" w:rsidR="00D10877" w:rsidRPr="004B5C29" w:rsidRDefault="00D10877" w:rsidP="000F1727">
            <w:pPr>
              <w:spacing w:after="200" w:line="276" w:lineRule="auto"/>
              <w:rPr>
                <w:rFonts w:cs="Calibri"/>
              </w:rPr>
            </w:pPr>
            <w:r w:rsidRPr="004B5C29">
              <w:rPr>
                <w:rFonts w:cs="Calibri"/>
              </w:rPr>
              <w:t>Yes.</w:t>
            </w:r>
          </w:p>
          <w:p w14:paraId="41C533B9" w14:textId="77777777" w:rsidR="00D10877" w:rsidRPr="001A2A5C" w:rsidRDefault="00D10877">
            <w:pPr>
              <w:shd w:val="clear" w:color="auto" w:fill="FFFFFF"/>
              <w:spacing w:after="200" w:line="276" w:lineRule="auto"/>
              <w:rPr>
                <w:rFonts w:cs="Calibri"/>
              </w:rPr>
            </w:pPr>
            <w:r w:rsidRPr="000D162E">
              <w:rPr>
                <w:rFonts w:cs="Calibri"/>
              </w:rPr>
              <w:t>Such</w:t>
            </w:r>
            <w:r w:rsidRPr="008A5778">
              <w:rPr>
                <w:rFonts w:cs="Arial"/>
              </w:rPr>
              <w:t xml:space="preserve"> costs are deductible as general expenses.</w:t>
            </w:r>
          </w:p>
        </w:tc>
        <w:tc>
          <w:tcPr>
            <w:tcW w:w="4961" w:type="dxa"/>
          </w:tcPr>
          <w:p w14:paraId="455E267C" w14:textId="77777777" w:rsidR="00D10877" w:rsidRPr="001A2A5C" w:rsidRDefault="00D10877">
            <w:pPr>
              <w:spacing w:after="200" w:line="276" w:lineRule="auto"/>
              <w:rPr>
                <w:rFonts w:cs="Calibri"/>
              </w:rPr>
            </w:pPr>
            <w:r w:rsidRPr="001A2A5C">
              <w:rPr>
                <w:rFonts w:cs="Calibri"/>
              </w:rPr>
              <w:t>Yes.</w:t>
            </w:r>
          </w:p>
          <w:p w14:paraId="47F73A90" w14:textId="77777777" w:rsidR="00D10877" w:rsidRPr="001A2A5C" w:rsidRDefault="00D10877">
            <w:pPr>
              <w:shd w:val="clear" w:color="auto" w:fill="FFFFFF"/>
              <w:spacing w:after="200" w:line="276" w:lineRule="auto"/>
              <w:rPr>
                <w:rFonts w:cs="Arial"/>
              </w:rPr>
            </w:pPr>
            <w:r w:rsidRPr="001A2A5C">
              <w:rPr>
                <w:rFonts w:cs="Calibri"/>
              </w:rPr>
              <w:t>Such</w:t>
            </w:r>
            <w:r w:rsidRPr="001A2A5C">
              <w:rPr>
                <w:rFonts w:cs="Arial"/>
              </w:rPr>
              <w:t xml:space="preserve"> costs are deductible as general expenses.</w:t>
            </w:r>
          </w:p>
        </w:tc>
      </w:tr>
      <w:tr w:rsidR="00D10877" w:rsidRPr="000A4031" w14:paraId="2BA6D052" w14:textId="77777777" w:rsidTr="00BD02DF">
        <w:tc>
          <w:tcPr>
            <w:tcW w:w="1814" w:type="dxa"/>
          </w:tcPr>
          <w:p w14:paraId="60BD1F7E" w14:textId="77777777" w:rsidR="00D10877" w:rsidRPr="00110574" w:rsidRDefault="00D10877" w:rsidP="00623F8C">
            <w:pPr>
              <w:spacing w:after="200" w:line="276" w:lineRule="auto"/>
              <w:rPr>
                <w:rFonts w:cs="Calibri"/>
                <w:b/>
              </w:rPr>
            </w:pPr>
            <w:r w:rsidRPr="00110574">
              <w:rPr>
                <w:rFonts w:cs="Calibri"/>
                <w:b/>
              </w:rPr>
              <w:t>Italy</w:t>
            </w:r>
          </w:p>
          <w:p w14:paraId="526E0DE6" w14:textId="77777777" w:rsidR="00D10877" w:rsidRPr="00C4032A" w:rsidRDefault="00D10877" w:rsidP="00623F8C">
            <w:pPr>
              <w:spacing w:after="200" w:line="276" w:lineRule="auto"/>
              <w:rPr>
                <w:rFonts w:cs="Calibri"/>
                <w:b/>
              </w:rPr>
            </w:pPr>
          </w:p>
        </w:tc>
        <w:tc>
          <w:tcPr>
            <w:tcW w:w="3114" w:type="dxa"/>
          </w:tcPr>
          <w:p w14:paraId="63180453" w14:textId="77777777" w:rsidR="00D10877" w:rsidRPr="004B5C29" w:rsidRDefault="00D10877" w:rsidP="00623F8C">
            <w:pPr>
              <w:spacing w:after="200" w:line="276" w:lineRule="auto"/>
              <w:rPr>
                <w:rFonts w:cs="Calibri"/>
              </w:rPr>
            </w:pPr>
            <w:r w:rsidRPr="004B5C29">
              <w:rPr>
                <w:rFonts w:cs="Calibri"/>
              </w:rPr>
              <w:t>Yes.</w:t>
            </w:r>
          </w:p>
          <w:p w14:paraId="2B6AC0D7" w14:textId="77777777" w:rsidR="00D10877" w:rsidRPr="001A2A5C" w:rsidRDefault="00D10877" w:rsidP="00623F8C">
            <w:pPr>
              <w:spacing w:after="200" w:line="276" w:lineRule="auto"/>
              <w:rPr>
                <w:rFonts w:cs="Calibri"/>
              </w:rPr>
            </w:pPr>
            <w:r w:rsidRPr="000D162E">
              <w:rPr>
                <w:rFonts w:cs="Calibri"/>
              </w:rPr>
              <w:t>Based</w:t>
            </w:r>
            <w:r w:rsidRPr="008A5778">
              <w:rPr>
                <w:rFonts w:cs="Arial"/>
              </w:rPr>
              <w:t xml:space="preserve"> on Italian accounting principles, flotation costs may generall</w:t>
            </w:r>
            <w:r w:rsidRPr="001A2A5C">
              <w:rPr>
                <w:rFonts w:cs="Arial"/>
              </w:rPr>
              <w:t>y be capitalised. In this case, they may be depreciated (and deducted) over five fiscal years.</w:t>
            </w:r>
          </w:p>
        </w:tc>
        <w:tc>
          <w:tcPr>
            <w:tcW w:w="4961" w:type="dxa"/>
          </w:tcPr>
          <w:p w14:paraId="3974C608" w14:textId="77777777" w:rsidR="00D10877" w:rsidRPr="001A2A5C" w:rsidRDefault="00D10877" w:rsidP="00623F8C">
            <w:pPr>
              <w:spacing w:after="200" w:line="276" w:lineRule="auto"/>
              <w:rPr>
                <w:rFonts w:cs="Calibri"/>
              </w:rPr>
            </w:pPr>
            <w:r w:rsidRPr="001A2A5C">
              <w:rPr>
                <w:rFonts w:cs="Calibri"/>
              </w:rPr>
              <w:t>Yes.</w:t>
            </w:r>
          </w:p>
          <w:p w14:paraId="4FDDF726" w14:textId="77777777" w:rsidR="00D10877" w:rsidRPr="001A2A5C" w:rsidRDefault="00D10877" w:rsidP="00623F8C">
            <w:pPr>
              <w:spacing w:after="200" w:line="276" w:lineRule="auto"/>
              <w:rPr>
                <w:rFonts w:cs="Arial"/>
              </w:rPr>
            </w:pPr>
            <w:r w:rsidRPr="001A2A5C">
              <w:rPr>
                <w:rFonts w:cs="Arial"/>
              </w:rPr>
              <w:t>Generally, there is no financial cap on the availability of the deduction. There is only a limit on the availability of the deduction of interest charges (net of interest income) which is a cap equal to 30% of EBITDA.</w:t>
            </w:r>
          </w:p>
          <w:p w14:paraId="115F4945" w14:textId="77777777" w:rsidR="00D10877" w:rsidRPr="001A2A5C" w:rsidRDefault="00D10877" w:rsidP="00623F8C">
            <w:pPr>
              <w:spacing w:after="200" w:line="276" w:lineRule="auto"/>
              <w:rPr>
                <w:rFonts w:cs="Calibri"/>
              </w:rPr>
            </w:pPr>
            <w:r w:rsidRPr="001A2A5C">
              <w:rPr>
                <w:rFonts w:cs="Arial"/>
              </w:rPr>
              <w:t>The deduction operates as follows:</w:t>
            </w:r>
          </w:p>
          <w:p w14:paraId="0F8A9517" w14:textId="77777777" w:rsidR="00D10877" w:rsidRPr="00835FD8" w:rsidRDefault="00D10877" w:rsidP="00623F8C">
            <w:pPr>
              <w:pStyle w:val="ListParagraph"/>
              <w:numPr>
                <w:ilvl w:val="0"/>
                <w:numId w:val="13"/>
              </w:numPr>
              <w:spacing w:after="200" w:line="276" w:lineRule="auto"/>
              <w:ind w:left="459" w:hanging="284"/>
              <w:contextualSpacing w:val="0"/>
              <w:rPr>
                <w:rFonts w:cs="Calibri"/>
              </w:rPr>
            </w:pPr>
            <w:r w:rsidRPr="00835FD8">
              <w:rPr>
                <w:rFonts w:cs="Calibri"/>
              </w:rPr>
              <w:t xml:space="preserve">Under </w:t>
            </w:r>
            <w:r w:rsidRPr="00835FD8">
              <w:rPr>
                <w:rFonts w:cs="Arial"/>
              </w:rPr>
              <w:t>Italian accounting principles, the Italian company should capitalise costs incurred to increase the share capital and then depreciate these costs over a five year period. Such depreciation is deductible for corporate income tax purposes;</w:t>
            </w:r>
          </w:p>
          <w:p w14:paraId="52864F99" w14:textId="77777777" w:rsidR="00D10877" w:rsidRPr="00835FD8" w:rsidRDefault="00D10877" w:rsidP="00623F8C">
            <w:pPr>
              <w:pStyle w:val="ListParagraph"/>
              <w:numPr>
                <w:ilvl w:val="0"/>
                <w:numId w:val="13"/>
              </w:numPr>
              <w:spacing w:after="200" w:line="276" w:lineRule="auto"/>
              <w:ind w:left="459" w:hanging="284"/>
              <w:contextualSpacing w:val="0"/>
              <w:rPr>
                <w:rFonts w:cs="Calibri"/>
              </w:rPr>
            </w:pPr>
            <w:r w:rsidRPr="00835FD8">
              <w:rPr>
                <w:rFonts w:cs="Calibri"/>
              </w:rPr>
              <w:t xml:space="preserve">Under </w:t>
            </w:r>
            <w:r w:rsidRPr="00835FD8">
              <w:rPr>
                <w:rFonts w:cs="Arial"/>
              </w:rPr>
              <w:t>Italian accounting principles, the Italian company should capitalise costs incurred to increase the debts and then depreciate these costs over the duration of the loan. Such depreciation is deductible for corporate income tax purpose;</w:t>
            </w:r>
          </w:p>
          <w:p w14:paraId="05A87BEC" w14:textId="77777777" w:rsidR="00D10877" w:rsidRPr="00835FD8" w:rsidRDefault="00D10877" w:rsidP="00623F8C">
            <w:pPr>
              <w:pStyle w:val="ListParagraph"/>
              <w:numPr>
                <w:ilvl w:val="0"/>
                <w:numId w:val="8"/>
              </w:numPr>
              <w:shd w:val="clear" w:color="auto" w:fill="FFFFFF"/>
              <w:spacing w:after="200" w:line="276" w:lineRule="auto"/>
              <w:ind w:left="459" w:hanging="284"/>
              <w:contextualSpacing w:val="0"/>
              <w:rPr>
                <w:rFonts w:cs="Arial"/>
              </w:rPr>
            </w:pPr>
            <w:r w:rsidRPr="00835FD8">
              <w:rPr>
                <w:rFonts w:cs="Calibri"/>
              </w:rPr>
              <w:lastRenderedPageBreak/>
              <w:t xml:space="preserve">Interest </w:t>
            </w:r>
            <w:r w:rsidRPr="00835FD8">
              <w:rPr>
                <w:rFonts w:cs="Arial"/>
              </w:rPr>
              <w:t>charge deduction is subject to a cap (30% of EBITDA).</w:t>
            </w:r>
          </w:p>
        </w:tc>
      </w:tr>
      <w:tr w:rsidR="00D10877" w:rsidRPr="000A4031" w14:paraId="66E234EB" w14:textId="77777777" w:rsidTr="00BD02DF">
        <w:tc>
          <w:tcPr>
            <w:tcW w:w="1814" w:type="dxa"/>
          </w:tcPr>
          <w:p w14:paraId="3992AD7C" w14:textId="77777777" w:rsidR="00D10877" w:rsidRPr="00110574" w:rsidRDefault="00D10877" w:rsidP="00623F8C">
            <w:pPr>
              <w:spacing w:after="200" w:line="276" w:lineRule="auto"/>
              <w:rPr>
                <w:rFonts w:cs="Calibri"/>
                <w:b/>
              </w:rPr>
            </w:pPr>
            <w:r w:rsidRPr="00110574">
              <w:rPr>
                <w:rFonts w:cs="Calibri"/>
                <w:b/>
              </w:rPr>
              <w:lastRenderedPageBreak/>
              <w:t>Luxembourg</w:t>
            </w:r>
          </w:p>
          <w:p w14:paraId="4B1643C4" w14:textId="77777777" w:rsidR="00D10877" w:rsidRPr="00110574" w:rsidRDefault="00D10877" w:rsidP="00403860">
            <w:pPr>
              <w:spacing w:after="200" w:line="276" w:lineRule="auto"/>
              <w:rPr>
                <w:rFonts w:cs="Calibri"/>
                <w:b/>
              </w:rPr>
            </w:pPr>
          </w:p>
        </w:tc>
        <w:tc>
          <w:tcPr>
            <w:tcW w:w="3114" w:type="dxa"/>
          </w:tcPr>
          <w:p w14:paraId="30328840" w14:textId="77777777" w:rsidR="00D10877" w:rsidRPr="000D162E" w:rsidRDefault="00D10877" w:rsidP="000F1727">
            <w:pPr>
              <w:spacing w:after="200" w:line="276" w:lineRule="auto"/>
            </w:pPr>
            <w:r w:rsidRPr="000D162E">
              <w:t>Yes.</w:t>
            </w:r>
          </w:p>
          <w:p w14:paraId="1DA1D51F" w14:textId="77777777" w:rsidR="00D10877" w:rsidRPr="001A2A5C" w:rsidRDefault="00D10877" w:rsidP="00623F8C">
            <w:pPr>
              <w:spacing w:after="200" w:line="276" w:lineRule="auto"/>
              <w:rPr>
                <w:rFonts w:cs="Calibri"/>
              </w:rPr>
            </w:pPr>
            <w:r w:rsidRPr="008A5778">
              <w:t>Flotation costs are tax deductible as general expenses.</w:t>
            </w:r>
          </w:p>
        </w:tc>
        <w:tc>
          <w:tcPr>
            <w:tcW w:w="4961" w:type="dxa"/>
          </w:tcPr>
          <w:p w14:paraId="6479BFE1" w14:textId="77777777" w:rsidR="00D10877" w:rsidRPr="001A2A5C" w:rsidRDefault="00D10877" w:rsidP="00403860">
            <w:pPr>
              <w:spacing w:after="200" w:line="276" w:lineRule="auto"/>
            </w:pPr>
            <w:r w:rsidRPr="001A2A5C">
              <w:t>Yes.</w:t>
            </w:r>
          </w:p>
          <w:p w14:paraId="2DC30EBB" w14:textId="77777777" w:rsidR="00D10877" w:rsidRPr="001A2A5C" w:rsidRDefault="00D10877" w:rsidP="000F1727">
            <w:pPr>
              <w:spacing w:after="200" w:line="276" w:lineRule="auto"/>
            </w:pPr>
            <w:r w:rsidRPr="001A2A5C">
              <w:t xml:space="preserve">The costs of issuing new equity are considered as operating costs. In principle, they are tax deductible for the issuer for corporation tax purposes to the extent they are booked as expenses in the Luxembourg GAAP accounts of the issuer. </w:t>
            </w:r>
          </w:p>
          <w:p w14:paraId="2F18D64E" w14:textId="77777777" w:rsidR="00D10877" w:rsidRPr="001A2A5C" w:rsidRDefault="00D10877">
            <w:pPr>
              <w:spacing w:after="200" w:line="276" w:lineRule="auto"/>
            </w:pPr>
            <w:r w:rsidRPr="001A2A5C">
              <w:t>However, if the new equity finances assets that generate exempt income, the portion of the costs that finances the exempt income is non-tax deductible.</w:t>
            </w:r>
          </w:p>
        </w:tc>
      </w:tr>
      <w:tr w:rsidR="00D10877" w:rsidRPr="000A4031" w14:paraId="5E1CBCF1" w14:textId="77777777" w:rsidTr="00BD02DF">
        <w:tc>
          <w:tcPr>
            <w:tcW w:w="1814" w:type="dxa"/>
          </w:tcPr>
          <w:p w14:paraId="0F14F942" w14:textId="77777777" w:rsidR="00D10877" w:rsidRPr="00110574" w:rsidRDefault="00D10877" w:rsidP="00623F8C">
            <w:pPr>
              <w:spacing w:after="200" w:line="276" w:lineRule="auto"/>
              <w:rPr>
                <w:rFonts w:cs="Calibri"/>
                <w:b/>
              </w:rPr>
            </w:pPr>
            <w:r w:rsidRPr="00110574">
              <w:rPr>
                <w:rFonts w:cs="Calibri"/>
                <w:b/>
              </w:rPr>
              <w:t>Netherlands</w:t>
            </w:r>
          </w:p>
        </w:tc>
        <w:tc>
          <w:tcPr>
            <w:tcW w:w="3114" w:type="dxa"/>
          </w:tcPr>
          <w:p w14:paraId="32AB234E" w14:textId="77777777" w:rsidR="00D10877" w:rsidRPr="004B5C29" w:rsidRDefault="00D10877" w:rsidP="00403860">
            <w:pPr>
              <w:spacing w:after="200" w:line="276" w:lineRule="auto"/>
            </w:pPr>
            <w:r w:rsidRPr="004B5C29">
              <w:t>Yes.</w:t>
            </w:r>
          </w:p>
          <w:p w14:paraId="6A76485E" w14:textId="77777777" w:rsidR="00D10877" w:rsidRPr="008A5778" w:rsidRDefault="00D10877" w:rsidP="000F1727">
            <w:pPr>
              <w:shd w:val="clear" w:color="auto" w:fill="FFFFFF"/>
              <w:spacing w:after="200" w:line="276" w:lineRule="auto"/>
              <w:rPr>
                <w:rFonts w:cs="Calibri"/>
              </w:rPr>
            </w:pPr>
            <w:r w:rsidRPr="000D162E">
              <w:rPr>
                <w:rFonts w:cs="Arial"/>
              </w:rPr>
              <w:t>Costs that do not qualify as equity (e.g. management and underwriting commission) are allowable as deductions under Dutch jurisprudence.</w:t>
            </w:r>
          </w:p>
        </w:tc>
        <w:tc>
          <w:tcPr>
            <w:tcW w:w="4961" w:type="dxa"/>
          </w:tcPr>
          <w:p w14:paraId="56C3209A" w14:textId="77777777" w:rsidR="00D10877" w:rsidRPr="001A2A5C" w:rsidRDefault="00D10877">
            <w:pPr>
              <w:spacing w:after="200" w:line="276" w:lineRule="auto"/>
            </w:pPr>
            <w:r w:rsidRPr="001A2A5C">
              <w:t>Yes.</w:t>
            </w:r>
          </w:p>
          <w:p w14:paraId="16C6A7B6" w14:textId="77777777" w:rsidR="00D10877" w:rsidRPr="001A2A5C" w:rsidRDefault="00D10877">
            <w:pPr>
              <w:shd w:val="clear" w:color="auto" w:fill="FFFFFF"/>
              <w:spacing w:after="200" w:line="276" w:lineRule="auto"/>
              <w:rPr>
                <w:rFonts w:cs="Arial"/>
              </w:rPr>
            </w:pPr>
            <w:r w:rsidRPr="001A2A5C">
              <w:rPr>
                <w:rFonts w:cs="Arial"/>
              </w:rPr>
              <w:t>Dutch corporate income tax law approves the deductibility of incorporation costs and costs related to the issue of capital.</w:t>
            </w:r>
          </w:p>
        </w:tc>
      </w:tr>
      <w:tr w:rsidR="00D10877" w:rsidRPr="000A4031" w14:paraId="57FB1DE2" w14:textId="77777777" w:rsidTr="00BD02DF">
        <w:tc>
          <w:tcPr>
            <w:tcW w:w="1814" w:type="dxa"/>
          </w:tcPr>
          <w:p w14:paraId="0F8962DD" w14:textId="77777777" w:rsidR="00D10877" w:rsidRPr="00110574" w:rsidRDefault="00D10877" w:rsidP="00623F8C">
            <w:pPr>
              <w:spacing w:after="200" w:line="276" w:lineRule="auto"/>
              <w:rPr>
                <w:b/>
              </w:rPr>
            </w:pPr>
            <w:r w:rsidRPr="00110574">
              <w:rPr>
                <w:b/>
              </w:rPr>
              <w:t>Norway</w:t>
            </w:r>
          </w:p>
          <w:p w14:paraId="24A26EAF" w14:textId="77777777" w:rsidR="00D10877" w:rsidRPr="00C4032A" w:rsidRDefault="00D10877" w:rsidP="00403860">
            <w:pPr>
              <w:spacing w:after="200" w:line="276" w:lineRule="auto"/>
              <w:rPr>
                <w:rFonts w:cs="Calibri"/>
                <w:b/>
              </w:rPr>
            </w:pPr>
          </w:p>
        </w:tc>
        <w:tc>
          <w:tcPr>
            <w:tcW w:w="3114" w:type="dxa"/>
          </w:tcPr>
          <w:p w14:paraId="067D0479" w14:textId="77777777" w:rsidR="00D10877" w:rsidRPr="008A5778" w:rsidRDefault="00D10877" w:rsidP="000F1727">
            <w:pPr>
              <w:spacing w:after="200" w:line="276" w:lineRule="auto"/>
            </w:pPr>
            <w:r w:rsidRPr="008A5778">
              <w:t>Yes.</w:t>
            </w:r>
          </w:p>
          <w:p w14:paraId="052141B8" w14:textId="77777777" w:rsidR="00D10877" w:rsidRPr="004B5C29" w:rsidRDefault="00D10877">
            <w:pPr>
              <w:pStyle w:val="BodyText"/>
              <w:spacing w:after="200" w:line="276" w:lineRule="auto"/>
              <w:jc w:val="left"/>
              <w:rPr>
                <w:rFonts w:ascii="Calibri" w:hAnsi="Calibri"/>
                <w:b w:val="0"/>
                <w:color w:val="auto"/>
                <w:szCs w:val="22"/>
              </w:rPr>
            </w:pPr>
            <w:r w:rsidRPr="004B5C29">
              <w:rPr>
                <w:rFonts w:ascii="Calibri" w:hAnsi="Calibri"/>
                <w:b w:val="0"/>
                <w:szCs w:val="22"/>
              </w:rPr>
              <w:t xml:space="preserve">Listing costs are deductible in the year the costs are incurred.  </w:t>
            </w:r>
          </w:p>
        </w:tc>
        <w:tc>
          <w:tcPr>
            <w:tcW w:w="4961" w:type="dxa"/>
          </w:tcPr>
          <w:p w14:paraId="67E2E651" w14:textId="77777777" w:rsidR="00D10877" w:rsidRPr="004B5C29" w:rsidRDefault="00D10877">
            <w:pPr>
              <w:spacing w:after="200" w:line="276" w:lineRule="auto"/>
            </w:pPr>
            <w:r w:rsidRPr="004B5C29">
              <w:t>Yes.</w:t>
            </w:r>
          </w:p>
          <w:p w14:paraId="06AA8D4B" w14:textId="77777777" w:rsidR="00D10877" w:rsidRPr="004B5C29" w:rsidRDefault="00D10877">
            <w:pPr>
              <w:pStyle w:val="BodyText"/>
              <w:spacing w:after="200" w:line="276" w:lineRule="auto"/>
              <w:jc w:val="left"/>
              <w:rPr>
                <w:rFonts w:ascii="Calibri" w:hAnsi="Calibri"/>
                <w:b w:val="0"/>
                <w:color w:val="auto"/>
                <w:szCs w:val="22"/>
              </w:rPr>
            </w:pPr>
            <w:r w:rsidRPr="004B5C29">
              <w:rPr>
                <w:rFonts w:ascii="Calibri" w:hAnsi="Calibri"/>
                <w:b w:val="0"/>
                <w:szCs w:val="22"/>
              </w:rPr>
              <w:t>The cost of raising new equity is deductible in the year the cost is incurred. There is no cap on the amount of costs for which a deduction may be claimed.</w:t>
            </w:r>
          </w:p>
        </w:tc>
      </w:tr>
      <w:tr w:rsidR="00D10877" w:rsidRPr="000A4031" w14:paraId="3D3DF6BB" w14:textId="77777777" w:rsidTr="00BD02DF">
        <w:tc>
          <w:tcPr>
            <w:tcW w:w="1814" w:type="dxa"/>
          </w:tcPr>
          <w:p w14:paraId="57B64450" w14:textId="77777777" w:rsidR="00D10877" w:rsidRPr="00110574" w:rsidRDefault="00D10877" w:rsidP="00623F8C">
            <w:pPr>
              <w:spacing w:after="200" w:line="276" w:lineRule="auto"/>
              <w:rPr>
                <w:b/>
              </w:rPr>
            </w:pPr>
            <w:r w:rsidRPr="00110574">
              <w:rPr>
                <w:b/>
              </w:rPr>
              <w:t>Poland</w:t>
            </w:r>
          </w:p>
          <w:p w14:paraId="06678968" w14:textId="77777777" w:rsidR="00D10877" w:rsidRPr="00C4032A" w:rsidRDefault="00D10877" w:rsidP="00403860">
            <w:pPr>
              <w:spacing w:after="200" w:line="276" w:lineRule="auto"/>
              <w:rPr>
                <w:rFonts w:cs="Calibri"/>
                <w:b/>
              </w:rPr>
            </w:pPr>
          </w:p>
        </w:tc>
        <w:tc>
          <w:tcPr>
            <w:tcW w:w="3114" w:type="dxa"/>
          </w:tcPr>
          <w:p w14:paraId="4D0F142D" w14:textId="77777777" w:rsidR="00D10877" w:rsidRPr="004B5C29" w:rsidRDefault="00D10877" w:rsidP="000F1727">
            <w:pPr>
              <w:spacing w:after="200" w:line="276" w:lineRule="auto"/>
              <w:rPr>
                <w:rFonts w:cs="Calibri"/>
              </w:rPr>
            </w:pPr>
            <w:r w:rsidRPr="004B5C29">
              <w:t>No.</w:t>
            </w:r>
          </w:p>
        </w:tc>
        <w:tc>
          <w:tcPr>
            <w:tcW w:w="4961" w:type="dxa"/>
          </w:tcPr>
          <w:p w14:paraId="5685E16E" w14:textId="77777777" w:rsidR="00D10877" w:rsidRPr="000D162E" w:rsidRDefault="00D10877">
            <w:pPr>
              <w:spacing w:after="200" w:line="276" w:lineRule="auto"/>
            </w:pPr>
            <w:r w:rsidRPr="000D162E">
              <w:t>Yes.</w:t>
            </w:r>
          </w:p>
          <w:p w14:paraId="6926260E" w14:textId="77777777" w:rsidR="00D10877" w:rsidRPr="001A2A5C" w:rsidRDefault="00D10877">
            <w:pPr>
              <w:spacing w:after="200" w:line="276" w:lineRule="auto"/>
            </w:pPr>
            <w:r w:rsidRPr="008A5778">
              <w:t>The law is not clear on the tax deductibility of the costs of issuing new equity. According to the most common interpretation, public</w:t>
            </w:r>
            <w:r w:rsidRPr="001A2A5C">
              <w:t xml:space="preserve"> and similar costs (such as court fees, administrative charges, stock exchange fees and notary fees) related to the issue of new shares on a stock exchange are not tax deductible.</w:t>
            </w:r>
          </w:p>
          <w:p w14:paraId="778ED2E8" w14:textId="77777777" w:rsidR="00D10877" w:rsidRPr="001A2A5C" w:rsidRDefault="00D10877">
            <w:pPr>
              <w:shd w:val="clear" w:color="auto" w:fill="FFFFFF"/>
              <w:spacing w:after="200" w:line="276" w:lineRule="auto"/>
            </w:pPr>
            <w:r w:rsidRPr="001A2A5C">
              <w:t>Other costs, such as costs of advisory, law services, audit, due diligence are in general tax deductible</w:t>
            </w:r>
          </w:p>
        </w:tc>
      </w:tr>
      <w:tr w:rsidR="00D10877" w:rsidRPr="000A4031" w14:paraId="467D4C58" w14:textId="77777777" w:rsidTr="00BD02DF">
        <w:tc>
          <w:tcPr>
            <w:tcW w:w="1814" w:type="dxa"/>
          </w:tcPr>
          <w:p w14:paraId="0D2F45DE" w14:textId="77777777" w:rsidR="00D10877" w:rsidRPr="00C4032A" w:rsidRDefault="00D10877" w:rsidP="00623F8C">
            <w:pPr>
              <w:spacing w:after="200" w:line="276" w:lineRule="auto"/>
              <w:rPr>
                <w:rFonts w:cs="Calibri"/>
                <w:b/>
              </w:rPr>
            </w:pPr>
            <w:r w:rsidRPr="00C4032A">
              <w:rPr>
                <w:rFonts w:cs="Calibri"/>
                <w:b/>
              </w:rPr>
              <w:t>Portugal</w:t>
            </w:r>
          </w:p>
          <w:p w14:paraId="699818A2" w14:textId="77777777" w:rsidR="00D10877" w:rsidRPr="00C4032A" w:rsidRDefault="00D10877" w:rsidP="00403860">
            <w:pPr>
              <w:spacing w:after="200" w:line="276" w:lineRule="auto"/>
              <w:rPr>
                <w:rFonts w:cs="Calibri"/>
                <w:b/>
              </w:rPr>
            </w:pPr>
          </w:p>
        </w:tc>
        <w:tc>
          <w:tcPr>
            <w:tcW w:w="3114" w:type="dxa"/>
          </w:tcPr>
          <w:p w14:paraId="0AF5E788" w14:textId="77777777" w:rsidR="00D10877" w:rsidRPr="008A5778" w:rsidRDefault="00D10877" w:rsidP="000F1727">
            <w:pPr>
              <w:spacing w:after="200" w:line="276" w:lineRule="auto"/>
              <w:rPr>
                <w:rFonts w:cs="Arial"/>
              </w:rPr>
            </w:pPr>
            <w:r w:rsidRPr="008A5778">
              <w:rPr>
                <w:rFonts w:cs="Arial"/>
              </w:rPr>
              <w:t>Yes.</w:t>
            </w:r>
          </w:p>
          <w:p w14:paraId="16BFF65E" w14:textId="77777777" w:rsidR="00D10877" w:rsidRPr="001A2A5C" w:rsidRDefault="00D10877">
            <w:pPr>
              <w:shd w:val="clear" w:color="auto" w:fill="FFFFFF"/>
              <w:spacing w:after="200" w:line="276" w:lineRule="auto"/>
              <w:rPr>
                <w:rFonts w:cs="Arial"/>
              </w:rPr>
            </w:pPr>
            <w:r w:rsidRPr="001A2A5C">
              <w:rPr>
                <w:rFonts w:cs="Arial"/>
              </w:rPr>
              <w:lastRenderedPageBreak/>
              <w:t>Pursuant to Portuguese GAAP, which follows IAS, such costs do not meet the criteria to be treated as intangible assets and therefore should be treated as a cost in the P&amp;L. From a corporate tax perspective, such costs are therefore tax deductible, on the basis that they are necessary for the company to run its business.</w:t>
            </w:r>
          </w:p>
        </w:tc>
        <w:tc>
          <w:tcPr>
            <w:tcW w:w="4961" w:type="dxa"/>
          </w:tcPr>
          <w:p w14:paraId="5D5B4332" w14:textId="77777777" w:rsidR="00D10877" w:rsidRPr="001A2A5C" w:rsidRDefault="00D10877">
            <w:pPr>
              <w:spacing w:after="200" w:line="276" w:lineRule="auto"/>
              <w:rPr>
                <w:rFonts w:cs="Arial"/>
              </w:rPr>
            </w:pPr>
            <w:r w:rsidRPr="001A2A5C">
              <w:rPr>
                <w:rFonts w:cs="Arial"/>
              </w:rPr>
              <w:lastRenderedPageBreak/>
              <w:t>Yes.</w:t>
            </w:r>
          </w:p>
          <w:p w14:paraId="112DC735" w14:textId="77777777" w:rsidR="00D10877" w:rsidRPr="001A2A5C" w:rsidRDefault="00D10877">
            <w:pPr>
              <w:spacing w:after="200" w:line="276" w:lineRule="auto"/>
              <w:rPr>
                <w:rFonts w:cs="Arial"/>
              </w:rPr>
            </w:pPr>
            <w:r w:rsidRPr="001A2A5C">
              <w:rPr>
                <w:rFonts w:cs="Arial"/>
              </w:rPr>
              <w:lastRenderedPageBreak/>
              <w:t>Any administrative and similar costs incurred are tax deductible on the basis that such costs are necessary for the company to run its business.</w:t>
            </w:r>
          </w:p>
          <w:p w14:paraId="24400144" w14:textId="77777777" w:rsidR="00D10877" w:rsidRPr="001A2A5C" w:rsidRDefault="00D10877">
            <w:pPr>
              <w:spacing w:after="200" w:line="276" w:lineRule="auto"/>
              <w:rPr>
                <w:rFonts w:cs="Calibri"/>
              </w:rPr>
            </w:pPr>
          </w:p>
        </w:tc>
      </w:tr>
      <w:tr w:rsidR="00D10877" w:rsidRPr="000A4031" w14:paraId="178FAA7A" w14:textId="77777777" w:rsidTr="00BD02DF">
        <w:tc>
          <w:tcPr>
            <w:tcW w:w="1814" w:type="dxa"/>
          </w:tcPr>
          <w:p w14:paraId="4FE6A01D" w14:textId="77777777" w:rsidR="00D10877" w:rsidRPr="00C4032A" w:rsidRDefault="00D10877" w:rsidP="00623F8C">
            <w:pPr>
              <w:spacing w:after="200" w:line="276" w:lineRule="auto"/>
              <w:rPr>
                <w:rFonts w:cs="Calibri"/>
                <w:b/>
              </w:rPr>
            </w:pPr>
            <w:r w:rsidRPr="00C4032A">
              <w:rPr>
                <w:rFonts w:cs="Calibri"/>
                <w:b/>
              </w:rPr>
              <w:lastRenderedPageBreak/>
              <w:t>Russia</w:t>
            </w:r>
          </w:p>
          <w:p w14:paraId="5D9951B3" w14:textId="77777777" w:rsidR="00D10877" w:rsidRPr="00C4032A" w:rsidRDefault="00D10877" w:rsidP="00403860">
            <w:pPr>
              <w:spacing w:after="200" w:line="276" w:lineRule="auto"/>
              <w:rPr>
                <w:rFonts w:cs="Calibri"/>
                <w:b/>
              </w:rPr>
            </w:pPr>
          </w:p>
        </w:tc>
        <w:tc>
          <w:tcPr>
            <w:tcW w:w="3114" w:type="dxa"/>
          </w:tcPr>
          <w:p w14:paraId="5DE01FB6" w14:textId="77777777" w:rsidR="00D10877" w:rsidRPr="008A5778" w:rsidRDefault="00D10877" w:rsidP="000F1727">
            <w:pPr>
              <w:spacing w:after="200" w:line="276" w:lineRule="auto"/>
              <w:rPr>
                <w:rFonts w:cs="Arial"/>
              </w:rPr>
            </w:pPr>
            <w:r w:rsidRPr="008A5778">
              <w:rPr>
                <w:rFonts w:cs="Arial"/>
              </w:rPr>
              <w:t>Yes.</w:t>
            </w:r>
          </w:p>
          <w:p w14:paraId="7A2D613B" w14:textId="77777777" w:rsidR="00D10877" w:rsidRPr="001A2A5C" w:rsidRDefault="00D10877">
            <w:pPr>
              <w:spacing w:after="200" w:line="276" w:lineRule="auto"/>
              <w:rPr>
                <w:rFonts w:cs="Arial"/>
              </w:rPr>
            </w:pPr>
            <w:r w:rsidRPr="001A2A5C">
              <w:rPr>
                <w:rFonts w:cs="Arial"/>
              </w:rPr>
              <w:t>Expenses associated with effecting an issue of securities (in particular the preparation of an issue prospectus, the manufacture or acquisition of blank forms and the registration of securities) as well as expenses associated with the servicing of own securities are accounted for as non-sale expenses for Russian tax purposes (Article 265, Item 1, Sub-item 3 of the Russian Tax Code).</w:t>
            </w:r>
          </w:p>
          <w:p w14:paraId="39F805A7" w14:textId="77777777" w:rsidR="00D10877" w:rsidRPr="001A2A5C" w:rsidRDefault="00D10877">
            <w:pPr>
              <w:spacing w:after="200" w:line="276" w:lineRule="auto"/>
              <w:rPr>
                <w:rFonts w:cs="Arial"/>
              </w:rPr>
            </w:pPr>
            <w:r w:rsidRPr="001A2A5C">
              <w:rPr>
                <w:rFonts w:cs="Arial"/>
              </w:rPr>
              <w:t>The above rule applies only for the issue of securities by the taxpayer. If, however, there are costs for setting up a subsidiary, these costs may become tax deductible only after disposal (retirement) of the subsidiary shares.</w:t>
            </w:r>
          </w:p>
          <w:p w14:paraId="7AFD9CD3" w14:textId="77777777" w:rsidR="00D10877" w:rsidRPr="001A2A5C" w:rsidRDefault="00D10877">
            <w:pPr>
              <w:shd w:val="clear" w:color="auto" w:fill="FFFFFF"/>
              <w:spacing w:after="200" w:line="276" w:lineRule="auto"/>
              <w:rPr>
                <w:rFonts w:cs="Arial"/>
              </w:rPr>
            </w:pPr>
            <w:r w:rsidRPr="001A2A5C">
              <w:rPr>
                <w:rFonts w:cs="Arial"/>
              </w:rPr>
              <w:t>All expenses recognised for Russian tax purposes should be properly documented and economically justified (Article 252, Item 1).</w:t>
            </w:r>
          </w:p>
        </w:tc>
        <w:tc>
          <w:tcPr>
            <w:tcW w:w="4961" w:type="dxa"/>
          </w:tcPr>
          <w:p w14:paraId="6E763D97" w14:textId="77777777" w:rsidR="00D10877" w:rsidRPr="00835FD8" w:rsidRDefault="00D10877">
            <w:pPr>
              <w:spacing w:after="200" w:line="276" w:lineRule="auto"/>
              <w:rPr>
                <w:rFonts w:cs="Arial"/>
              </w:rPr>
            </w:pPr>
            <w:r w:rsidRPr="00835FD8">
              <w:rPr>
                <w:rFonts w:cs="Arial"/>
              </w:rPr>
              <w:t>Yes.</w:t>
            </w:r>
          </w:p>
          <w:p w14:paraId="4925BC45" w14:textId="77777777" w:rsidR="00D10877" w:rsidRPr="00835FD8" w:rsidRDefault="00D10877">
            <w:pPr>
              <w:spacing w:after="200" w:line="276" w:lineRule="auto"/>
              <w:rPr>
                <w:rFonts w:cs="Arial"/>
              </w:rPr>
            </w:pPr>
            <w:r w:rsidRPr="00835FD8">
              <w:rPr>
                <w:rFonts w:cs="Arial"/>
              </w:rPr>
              <w:t>Expenses associated with effecting an issue of securities (in particular the preparation of an issue prospectus, the manufacture or acquisition of blank forms and the registration of securities) as well as expenses associated with the servicing of own securities are accounted for as non-sale expenses for Russian tax purposes (Article 265, Item 1, Sub-item 3 of Russian Tax Code).</w:t>
            </w:r>
          </w:p>
          <w:p w14:paraId="47B48AFE" w14:textId="77777777" w:rsidR="00D10877" w:rsidRPr="00835FD8" w:rsidRDefault="00D10877">
            <w:pPr>
              <w:spacing w:after="200" w:line="276" w:lineRule="auto"/>
              <w:rPr>
                <w:rFonts w:cs="Arial"/>
              </w:rPr>
            </w:pPr>
            <w:r w:rsidRPr="00835FD8">
              <w:rPr>
                <w:rFonts w:cs="Arial"/>
              </w:rPr>
              <w:t>All expenses recognised for Russian tax purposes should be properly documented and economically justified (Article 252, Item 1).</w:t>
            </w:r>
          </w:p>
          <w:p w14:paraId="744509A3" w14:textId="77777777" w:rsidR="00D10877" w:rsidRPr="00835FD8" w:rsidRDefault="00D10877">
            <w:pPr>
              <w:spacing w:after="200" w:line="276" w:lineRule="auto"/>
              <w:rPr>
                <w:rFonts w:cs="Calibri"/>
              </w:rPr>
            </w:pPr>
          </w:p>
        </w:tc>
      </w:tr>
      <w:tr w:rsidR="00D10877" w:rsidRPr="000A4031" w14:paraId="7D012837" w14:textId="77777777" w:rsidTr="00BD02DF">
        <w:tc>
          <w:tcPr>
            <w:tcW w:w="1814" w:type="dxa"/>
          </w:tcPr>
          <w:p w14:paraId="7D8BD253" w14:textId="77777777" w:rsidR="00D10877" w:rsidRPr="00C4032A" w:rsidRDefault="00D10877" w:rsidP="00623F8C">
            <w:pPr>
              <w:spacing w:after="200" w:line="276" w:lineRule="auto"/>
              <w:rPr>
                <w:rFonts w:cs="Calibri"/>
                <w:b/>
              </w:rPr>
            </w:pPr>
            <w:r w:rsidRPr="00C4032A">
              <w:rPr>
                <w:rFonts w:cs="Calibri"/>
                <w:b/>
              </w:rPr>
              <w:lastRenderedPageBreak/>
              <w:t>Serbia</w:t>
            </w:r>
          </w:p>
        </w:tc>
        <w:tc>
          <w:tcPr>
            <w:tcW w:w="3114" w:type="dxa"/>
          </w:tcPr>
          <w:p w14:paraId="7810A958" w14:textId="77777777" w:rsidR="00D10877" w:rsidRPr="008A5778" w:rsidRDefault="00D10877" w:rsidP="00403860">
            <w:pPr>
              <w:spacing w:after="200" w:line="276" w:lineRule="auto"/>
              <w:rPr>
                <w:rFonts w:cs="Calibri"/>
              </w:rPr>
            </w:pPr>
            <w:r w:rsidRPr="000D162E">
              <w:rPr>
                <w:rFonts w:cs="Calibri"/>
              </w:rPr>
              <w:t>Yes.</w:t>
            </w:r>
          </w:p>
        </w:tc>
        <w:tc>
          <w:tcPr>
            <w:tcW w:w="4961" w:type="dxa"/>
          </w:tcPr>
          <w:p w14:paraId="323D8417" w14:textId="77777777" w:rsidR="00D10877" w:rsidRPr="001A2A5C" w:rsidRDefault="00D10877" w:rsidP="000F1727">
            <w:pPr>
              <w:spacing w:after="200" w:line="276" w:lineRule="auto"/>
              <w:rPr>
                <w:rFonts w:cs="Calibri"/>
              </w:rPr>
            </w:pPr>
            <w:r w:rsidRPr="001A2A5C">
              <w:rPr>
                <w:rFonts w:cs="Calibri"/>
              </w:rPr>
              <w:t>Yes.</w:t>
            </w:r>
          </w:p>
        </w:tc>
      </w:tr>
      <w:tr w:rsidR="00D10877" w:rsidRPr="000A4031" w14:paraId="26F33E39" w14:textId="77777777" w:rsidTr="00BD02DF">
        <w:tc>
          <w:tcPr>
            <w:tcW w:w="1814" w:type="dxa"/>
          </w:tcPr>
          <w:p w14:paraId="3070B939" w14:textId="77777777" w:rsidR="00D10877" w:rsidRPr="00C4032A" w:rsidRDefault="00D10877" w:rsidP="00623F8C">
            <w:pPr>
              <w:spacing w:after="200" w:line="276" w:lineRule="auto"/>
              <w:rPr>
                <w:rFonts w:cs="Calibri"/>
                <w:b/>
              </w:rPr>
            </w:pPr>
            <w:r w:rsidRPr="00C4032A">
              <w:rPr>
                <w:rFonts w:cs="Calibri"/>
                <w:b/>
              </w:rPr>
              <w:t>Spain</w:t>
            </w:r>
          </w:p>
        </w:tc>
        <w:tc>
          <w:tcPr>
            <w:tcW w:w="3114" w:type="dxa"/>
          </w:tcPr>
          <w:p w14:paraId="6F7E8144" w14:textId="77777777" w:rsidR="00D10877" w:rsidRPr="004B5C29" w:rsidRDefault="00D10877" w:rsidP="00403860">
            <w:pPr>
              <w:spacing w:after="200" w:line="276" w:lineRule="auto"/>
              <w:rPr>
                <w:rFonts w:cs="Arial"/>
              </w:rPr>
            </w:pPr>
            <w:r w:rsidRPr="004B5C29">
              <w:rPr>
                <w:rFonts w:cs="Arial"/>
              </w:rPr>
              <w:t>Yes.</w:t>
            </w:r>
          </w:p>
          <w:p w14:paraId="63320B6E" w14:textId="77777777" w:rsidR="00D10877" w:rsidRPr="008A5778" w:rsidRDefault="00D10877" w:rsidP="000F1727">
            <w:pPr>
              <w:shd w:val="clear" w:color="auto" w:fill="FFFFFF"/>
              <w:spacing w:after="200" w:line="276" w:lineRule="auto"/>
              <w:rPr>
                <w:rFonts w:cs="Arial"/>
              </w:rPr>
            </w:pPr>
            <w:r w:rsidRPr="000D162E">
              <w:rPr>
                <w:rFonts w:cs="Arial"/>
              </w:rPr>
              <w:t>No restrictions on the tax deductibility of flotation costs are established in the Corporate Income Tax (“CIT”) Law, as long as they are duly recognised in the P&amp;L.</w:t>
            </w:r>
          </w:p>
        </w:tc>
        <w:tc>
          <w:tcPr>
            <w:tcW w:w="4961" w:type="dxa"/>
          </w:tcPr>
          <w:p w14:paraId="11ED7360" w14:textId="77777777" w:rsidR="00D10877" w:rsidRPr="001A2A5C" w:rsidRDefault="00D10877">
            <w:pPr>
              <w:spacing w:after="200" w:line="276" w:lineRule="auto"/>
              <w:rPr>
                <w:rFonts w:cs="Arial"/>
              </w:rPr>
            </w:pPr>
            <w:r w:rsidRPr="001A2A5C">
              <w:rPr>
                <w:rFonts w:cs="Arial"/>
              </w:rPr>
              <w:t>Yes.</w:t>
            </w:r>
          </w:p>
          <w:p w14:paraId="5D6FD961" w14:textId="77777777" w:rsidR="00D10877" w:rsidRPr="001A2A5C" w:rsidRDefault="00D10877">
            <w:pPr>
              <w:shd w:val="clear" w:color="auto" w:fill="FFFFFF"/>
              <w:spacing w:after="200" w:line="276" w:lineRule="auto"/>
              <w:rPr>
                <w:rFonts w:cs="Calibri"/>
              </w:rPr>
            </w:pPr>
            <w:r w:rsidRPr="001A2A5C">
              <w:rPr>
                <w:rFonts w:cs="Arial"/>
              </w:rPr>
              <w:t>No restrictions for the tax deductibility of issuing new equity are established in the CIT Law, as long as they are duly recognised in the P&amp;L. Generally, there is no financial cap on the availability of the deduction.</w:t>
            </w:r>
          </w:p>
        </w:tc>
      </w:tr>
      <w:tr w:rsidR="00D10877" w:rsidRPr="000A4031" w14:paraId="5D0519C6" w14:textId="77777777" w:rsidTr="0092673A">
        <w:trPr>
          <w:trHeight w:val="5340"/>
        </w:trPr>
        <w:tc>
          <w:tcPr>
            <w:tcW w:w="1814" w:type="dxa"/>
          </w:tcPr>
          <w:p w14:paraId="5CA6DE55" w14:textId="77777777" w:rsidR="00D10877" w:rsidRPr="00C4032A" w:rsidRDefault="00D10877" w:rsidP="00623F8C">
            <w:pPr>
              <w:spacing w:after="200" w:line="276" w:lineRule="auto"/>
              <w:rPr>
                <w:rFonts w:cs="Calibri"/>
                <w:b/>
              </w:rPr>
            </w:pPr>
            <w:r w:rsidRPr="00C4032A">
              <w:rPr>
                <w:rFonts w:cs="Calibri"/>
                <w:b/>
              </w:rPr>
              <w:t>Switzerland</w:t>
            </w:r>
          </w:p>
          <w:p w14:paraId="08AC439D" w14:textId="77777777" w:rsidR="00D10877" w:rsidRPr="00C4032A" w:rsidRDefault="00D10877" w:rsidP="00403860">
            <w:pPr>
              <w:spacing w:after="200" w:line="276" w:lineRule="auto"/>
              <w:rPr>
                <w:rFonts w:cs="Calibri"/>
                <w:b/>
              </w:rPr>
            </w:pPr>
          </w:p>
        </w:tc>
        <w:tc>
          <w:tcPr>
            <w:tcW w:w="3114" w:type="dxa"/>
          </w:tcPr>
          <w:p w14:paraId="53AAA49E" w14:textId="77777777" w:rsidR="00D10877" w:rsidRPr="000D162E" w:rsidRDefault="00D10877" w:rsidP="000F1727">
            <w:pPr>
              <w:spacing w:after="200" w:line="276" w:lineRule="auto"/>
              <w:rPr>
                <w:rFonts w:cs="Arial"/>
              </w:rPr>
            </w:pPr>
            <w:r w:rsidRPr="004B5C29">
              <w:rPr>
                <w:rFonts w:cs="Arial"/>
              </w:rPr>
              <w:t>Yes.</w:t>
            </w:r>
          </w:p>
          <w:p w14:paraId="547A1F48" w14:textId="77777777" w:rsidR="00D10877" w:rsidRPr="0092673A" w:rsidRDefault="00D10877">
            <w:pPr>
              <w:spacing w:after="200" w:line="276" w:lineRule="auto"/>
              <w:rPr>
                <w:rFonts w:cs="Arial"/>
              </w:rPr>
            </w:pPr>
            <w:r w:rsidRPr="008A5778">
              <w:rPr>
                <w:rFonts w:cs="Arial"/>
              </w:rPr>
              <w:t>The general principles regarding costs of issuing new equity should apply</w:t>
            </w:r>
            <w:r w:rsidRPr="001A2A5C">
              <w:rPr>
                <w:rFonts w:cs="Arial"/>
              </w:rPr>
              <w:t xml:space="preserve"> to the tax deductibility of flotation costs. That is, such costs can either be capitalised and depreciated over five years or booked directly as an expense, in both cases with tax deductible effect provided that the co</w:t>
            </w:r>
            <w:r w:rsidR="0092673A">
              <w:rPr>
                <w:rFonts w:cs="Arial"/>
              </w:rPr>
              <w:t>sts are economically justified.</w:t>
            </w:r>
          </w:p>
        </w:tc>
        <w:tc>
          <w:tcPr>
            <w:tcW w:w="4961" w:type="dxa"/>
          </w:tcPr>
          <w:p w14:paraId="6C0EFDD9" w14:textId="77777777" w:rsidR="000361D7" w:rsidRDefault="000361D7" w:rsidP="00623F8C">
            <w:pPr>
              <w:spacing w:after="200"/>
              <w:rPr>
                <w:rFonts w:cs="Arial"/>
              </w:rPr>
            </w:pPr>
            <w:r w:rsidRPr="000A4031">
              <w:rPr>
                <w:rFonts w:cs="Arial"/>
              </w:rPr>
              <w:t>Yes.</w:t>
            </w:r>
          </w:p>
          <w:p w14:paraId="633756D0" w14:textId="77777777" w:rsidR="000361D7" w:rsidRDefault="000361D7" w:rsidP="00623F8C">
            <w:pPr>
              <w:spacing w:after="200"/>
              <w:rPr>
                <w:rFonts w:cs="Arial"/>
              </w:rPr>
            </w:pPr>
            <w:r w:rsidRPr="000A4031">
              <w:rPr>
                <w:rFonts w:cs="Arial"/>
              </w:rPr>
              <w:t>The costs for incorporation, capital increase and general company organisation can either be capitalised and depreciated over five years or booked directly as an expense – in both cases with tax deductible effect provided that the costs are economically justified.</w:t>
            </w:r>
          </w:p>
          <w:p w14:paraId="72B67F50" w14:textId="77777777" w:rsidR="000361D7" w:rsidRDefault="000361D7" w:rsidP="00623F8C">
            <w:pPr>
              <w:spacing w:after="200"/>
              <w:rPr>
                <w:rFonts w:cs="Arial"/>
              </w:rPr>
            </w:pPr>
            <w:r w:rsidRPr="000A4031">
              <w:rPr>
                <w:rFonts w:cs="Arial"/>
              </w:rPr>
              <w:t>On 1 January 2013, the accounting rules of the Swiss Code of Obligations were revised. A transitionary period was in place until 1 January 2015. As of this date, it will no longer be admitted to capitalise incorporation, capital increase and organisation costs, but rather such costs have to be treated immediately as an expense.</w:t>
            </w:r>
          </w:p>
          <w:p w14:paraId="35CB8DA1" w14:textId="21DF53B5" w:rsidR="00D10877" w:rsidRPr="00835FD8" w:rsidRDefault="00F601E8" w:rsidP="00623F8C">
            <w:pPr>
              <w:shd w:val="clear" w:color="auto" w:fill="FFFFFF"/>
              <w:spacing w:after="200" w:line="276" w:lineRule="auto"/>
              <w:rPr>
                <w:rFonts w:cs="Arial"/>
              </w:rPr>
            </w:pPr>
            <w:r w:rsidRPr="00F601E8">
              <w:rPr>
                <w:u w:val="single"/>
              </w:rPr>
              <w:t>NOTE:</w:t>
            </w:r>
            <w:r w:rsidRPr="00F601E8">
              <w:t xml:space="preserve"> The Corporate Tax Reform III was rejected in a popular vote on 12 February 2017. The federal parliament is currently drafting a new reform proposal (called “Tax Proposal 17”). Contrary to the rejected Corporate Tax Reform III, the Tax Proposal 17 will not provide for the Notional Interest Deduction on the federal level nor on the cantonal level. However, as per the latest parliamentary discussions, the cantons shall be entitled to implement a Notional Interest Deduction regime provided that the corporate income tax rate in the respective canton amounts to at least 13.5%, which will be foreseeably the case in the canton of Zurich. The Tax Proposal 17 might be subject to a popular vote and is expected not to enter into force before 2019/2020.</w:t>
            </w:r>
          </w:p>
        </w:tc>
      </w:tr>
      <w:tr w:rsidR="00D10877" w:rsidRPr="000A4031" w14:paraId="3852F885" w14:textId="77777777" w:rsidTr="00BD02DF">
        <w:tc>
          <w:tcPr>
            <w:tcW w:w="1814" w:type="dxa"/>
          </w:tcPr>
          <w:p w14:paraId="27BABB4A" w14:textId="77777777" w:rsidR="00D10877" w:rsidRPr="00C4032A" w:rsidRDefault="00D10877" w:rsidP="00623F8C">
            <w:pPr>
              <w:spacing w:after="200" w:line="276" w:lineRule="auto"/>
              <w:rPr>
                <w:rFonts w:cs="Calibri"/>
                <w:b/>
              </w:rPr>
            </w:pPr>
            <w:r w:rsidRPr="00C4032A">
              <w:rPr>
                <w:rFonts w:cs="Calibri"/>
                <w:b/>
              </w:rPr>
              <w:t>Ukraine</w:t>
            </w:r>
          </w:p>
          <w:p w14:paraId="41AFD11C" w14:textId="77777777" w:rsidR="00D10877" w:rsidRPr="00C4032A" w:rsidRDefault="00D10877" w:rsidP="00403860">
            <w:pPr>
              <w:spacing w:after="200" w:line="276" w:lineRule="auto"/>
              <w:rPr>
                <w:rFonts w:cs="Calibri"/>
                <w:b/>
              </w:rPr>
            </w:pPr>
          </w:p>
        </w:tc>
        <w:tc>
          <w:tcPr>
            <w:tcW w:w="3114" w:type="dxa"/>
          </w:tcPr>
          <w:p w14:paraId="10F6071A" w14:textId="77777777" w:rsidR="00D10877" w:rsidRPr="001A2A5C" w:rsidRDefault="00D10877" w:rsidP="000F1727">
            <w:pPr>
              <w:spacing w:after="200" w:line="276" w:lineRule="auto"/>
              <w:rPr>
                <w:rFonts w:cs="Calibri"/>
              </w:rPr>
            </w:pPr>
            <w:r w:rsidRPr="008A5778">
              <w:lastRenderedPageBreak/>
              <w:t>No.</w:t>
            </w:r>
          </w:p>
        </w:tc>
        <w:tc>
          <w:tcPr>
            <w:tcW w:w="4961" w:type="dxa"/>
          </w:tcPr>
          <w:p w14:paraId="497B2173" w14:textId="77777777" w:rsidR="00D10877" w:rsidRPr="001A2A5C" w:rsidRDefault="00D10877">
            <w:pPr>
              <w:spacing w:after="200" w:line="276" w:lineRule="auto"/>
              <w:rPr>
                <w:rFonts w:cs="Arial"/>
              </w:rPr>
            </w:pPr>
            <w:r w:rsidRPr="001A2A5C">
              <w:rPr>
                <w:rFonts w:cs="Arial"/>
              </w:rPr>
              <w:t>Yes.</w:t>
            </w:r>
          </w:p>
          <w:p w14:paraId="13BF0AAD" w14:textId="77777777" w:rsidR="00D10877" w:rsidRPr="001A2A5C" w:rsidRDefault="00D10877">
            <w:pPr>
              <w:spacing w:after="200" w:line="276" w:lineRule="auto"/>
              <w:rPr>
                <w:rFonts w:cs="Arial"/>
              </w:rPr>
            </w:pPr>
            <w:r w:rsidRPr="001A2A5C">
              <w:rPr>
                <w:rFonts w:cs="Arial"/>
              </w:rPr>
              <w:lastRenderedPageBreak/>
              <w:t>As there are no direct restrictions in the Tax Code regarding deductibility of the costs of issuing new equity, one may assume that such costs are generally tax deductible.</w:t>
            </w:r>
          </w:p>
          <w:p w14:paraId="230956C8" w14:textId="77777777" w:rsidR="00D10877" w:rsidRPr="001A2A5C" w:rsidRDefault="00D10877">
            <w:pPr>
              <w:shd w:val="clear" w:color="auto" w:fill="FFFFFF"/>
              <w:spacing w:after="200" w:line="276" w:lineRule="auto"/>
              <w:rPr>
                <w:rFonts w:cs="Arial"/>
              </w:rPr>
            </w:pPr>
            <w:r w:rsidRPr="001A2A5C">
              <w:rPr>
                <w:rFonts w:cs="Arial"/>
              </w:rPr>
              <w:t>However, the Ukrainian tax authorities may try to challenge deductibility claiming that such costs are not directly related to the issuer’s business activity.</w:t>
            </w:r>
          </w:p>
        </w:tc>
      </w:tr>
    </w:tbl>
    <w:p w14:paraId="6214D331" w14:textId="77777777" w:rsidR="007F4BBD" w:rsidRDefault="007F4BBD" w:rsidP="00D10877">
      <w:pPr>
        <w:sectPr w:rsidR="007F4BBD" w:rsidSect="00F27B7A">
          <w:pgSz w:w="11906" w:h="16838"/>
          <w:pgMar w:top="1134" w:right="1134" w:bottom="1134" w:left="1134" w:header="708" w:footer="708" w:gutter="0"/>
          <w:cols w:space="708"/>
          <w:docGrid w:linePitch="360"/>
        </w:sectPr>
      </w:pPr>
    </w:p>
    <w:p w14:paraId="53F6E693" w14:textId="4612C7B6" w:rsidR="00D10877" w:rsidRPr="00233725" w:rsidRDefault="007F4BBD" w:rsidP="007F4BBD">
      <w:pPr>
        <w:pStyle w:val="Heading1"/>
        <w:spacing w:before="0" w:after="200"/>
        <w:jc w:val="both"/>
        <w:rPr>
          <w:rFonts w:ascii="Calibri" w:hAnsi="Calibri"/>
          <w:color w:val="auto"/>
          <w:sz w:val="24"/>
          <w:u w:val="single"/>
        </w:rPr>
      </w:pPr>
      <w:bookmarkStart w:id="19" w:name="_Toc19093867"/>
      <w:r w:rsidRPr="00233725">
        <w:rPr>
          <w:rFonts w:ascii="Calibri" w:hAnsi="Calibri"/>
          <w:color w:val="auto"/>
          <w:sz w:val="24"/>
          <w:u w:val="single"/>
        </w:rPr>
        <w:lastRenderedPageBreak/>
        <w:t>Appendix B: Data used to calculate allowing the costs of raising equity to be tax deductible</w:t>
      </w:r>
      <w:bookmarkEnd w:id="19"/>
    </w:p>
    <w:p w14:paraId="41F88532" w14:textId="0CBE2F50" w:rsidR="00A80A37" w:rsidRPr="000A4031" w:rsidRDefault="00A80A37" w:rsidP="00A80A37">
      <w:pPr>
        <w:jc w:val="both"/>
        <w:rPr>
          <w:rFonts w:ascii="Calibri" w:hAnsi="Calibri" w:cs="Calibri"/>
          <w:b/>
        </w:rPr>
      </w:pPr>
      <w:r w:rsidRPr="00BD385C">
        <w:rPr>
          <w:rFonts w:ascii="Calibri" w:hAnsi="Calibri" w:cs="Calibri"/>
          <w:b/>
        </w:rPr>
        <w:t xml:space="preserve">Further Issues on London Stock Exchange (1 January 2017 – 31 December 2017) </w:t>
      </w:r>
      <w:r w:rsidRPr="00BD385C">
        <w:rPr>
          <w:rStyle w:val="FootnoteReference"/>
          <w:rFonts w:ascii="Calibri" w:hAnsi="Calibri" w:cs="Calibri"/>
          <w:b/>
        </w:rPr>
        <w:footnoteReference w:id="37"/>
      </w:r>
    </w:p>
    <w:tbl>
      <w:tblPr>
        <w:tblStyle w:val="TableGrid"/>
        <w:tblW w:w="0" w:type="auto"/>
        <w:tblInd w:w="108" w:type="dxa"/>
        <w:tblLook w:val="04A0" w:firstRow="1" w:lastRow="0" w:firstColumn="1" w:lastColumn="0" w:noHBand="0" w:noVBand="1"/>
      </w:tblPr>
      <w:tblGrid>
        <w:gridCol w:w="2835"/>
        <w:gridCol w:w="2835"/>
      </w:tblGrid>
      <w:tr w:rsidR="00A80A37" w:rsidRPr="00BC5CD8" w14:paraId="1561A360" w14:textId="77777777" w:rsidTr="0017626E">
        <w:tc>
          <w:tcPr>
            <w:tcW w:w="2835" w:type="dxa"/>
            <w:shd w:val="clear" w:color="auto" w:fill="F2F2F2" w:themeFill="background1" w:themeFillShade="F2"/>
            <w:vAlign w:val="bottom"/>
          </w:tcPr>
          <w:p w14:paraId="761AA94D" w14:textId="77777777" w:rsidR="00A80A37" w:rsidRPr="009838F1" w:rsidRDefault="00A80A37" w:rsidP="0017626E">
            <w:pPr>
              <w:spacing w:before="80" w:after="80" w:line="276" w:lineRule="auto"/>
              <w:rPr>
                <w:rFonts w:cs="Arial"/>
                <w:b/>
                <w:bCs/>
              </w:rPr>
            </w:pPr>
            <w:r w:rsidRPr="009838F1">
              <w:rPr>
                <w:rFonts w:cs="Arial"/>
                <w:b/>
                <w:bCs/>
              </w:rPr>
              <w:t>Market</w:t>
            </w:r>
          </w:p>
        </w:tc>
        <w:tc>
          <w:tcPr>
            <w:tcW w:w="2835" w:type="dxa"/>
            <w:shd w:val="clear" w:color="auto" w:fill="F2F2F2" w:themeFill="background1" w:themeFillShade="F2"/>
            <w:vAlign w:val="bottom"/>
          </w:tcPr>
          <w:p w14:paraId="77DDDC84" w14:textId="77777777" w:rsidR="00A80A37" w:rsidRPr="009838F1" w:rsidRDefault="00A80A37" w:rsidP="0017626E">
            <w:pPr>
              <w:spacing w:before="80" w:after="80" w:line="276" w:lineRule="auto"/>
              <w:jc w:val="center"/>
              <w:rPr>
                <w:rFonts w:cs="Arial"/>
                <w:b/>
                <w:bCs/>
              </w:rPr>
            </w:pPr>
            <w:r>
              <w:rPr>
                <w:rFonts w:cs="Arial"/>
                <w:b/>
                <w:bCs/>
              </w:rPr>
              <w:t>Number</w:t>
            </w:r>
            <w:r w:rsidRPr="009838F1">
              <w:rPr>
                <w:rFonts w:cs="Arial"/>
                <w:b/>
                <w:bCs/>
              </w:rPr>
              <w:t xml:space="preserve"> of Further Issues</w:t>
            </w:r>
          </w:p>
        </w:tc>
      </w:tr>
      <w:tr w:rsidR="00A80A37" w:rsidRPr="00BC5CD8" w14:paraId="7E4D3CD9" w14:textId="77777777" w:rsidTr="0017626E">
        <w:tc>
          <w:tcPr>
            <w:tcW w:w="2835" w:type="dxa"/>
            <w:vAlign w:val="bottom"/>
          </w:tcPr>
          <w:p w14:paraId="5DC5513F" w14:textId="77777777" w:rsidR="00A80A37" w:rsidRPr="009838F1" w:rsidRDefault="00A80A37" w:rsidP="0017626E">
            <w:pPr>
              <w:spacing w:before="80" w:after="80" w:line="276" w:lineRule="auto"/>
              <w:rPr>
                <w:rFonts w:cs="Arial"/>
              </w:rPr>
            </w:pPr>
            <w:r w:rsidRPr="009838F1">
              <w:rPr>
                <w:rFonts w:cs="Arial"/>
              </w:rPr>
              <w:t>AIM</w:t>
            </w:r>
          </w:p>
        </w:tc>
        <w:tc>
          <w:tcPr>
            <w:tcW w:w="2835" w:type="dxa"/>
            <w:vAlign w:val="bottom"/>
          </w:tcPr>
          <w:p w14:paraId="75CAC0A4" w14:textId="77777777" w:rsidR="00A80A37" w:rsidRPr="003413FC" w:rsidRDefault="00A80A37" w:rsidP="0017626E">
            <w:pPr>
              <w:spacing w:before="80" w:after="80" w:line="276" w:lineRule="auto"/>
              <w:jc w:val="center"/>
              <w:rPr>
                <w:rFonts w:cs="Arial"/>
                <w:i/>
              </w:rPr>
            </w:pPr>
            <w:r>
              <w:rPr>
                <w:rFonts w:cs="Arial"/>
              </w:rPr>
              <w:t>618</w:t>
            </w:r>
          </w:p>
        </w:tc>
      </w:tr>
      <w:tr w:rsidR="00A80A37" w:rsidRPr="00BC5CD8" w14:paraId="220D8A4C" w14:textId="77777777" w:rsidTr="0017626E">
        <w:tc>
          <w:tcPr>
            <w:tcW w:w="2835" w:type="dxa"/>
            <w:vAlign w:val="bottom"/>
          </w:tcPr>
          <w:p w14:paraId="742458F9" w14:textId="77777777" w:rsidR="00A80A37" w:rsidRPr="009838F1" w:rsidRDefault="00A80A37" w:rsidP="0017626E">
            <w:pPr>
              <w:spacing w:before="80" w:after="80" w:line="276" w:lineRule="auto"/>
              <w:rPr>
                <w:rFonts w:cs="Arial"/>
              </w:rPr>
            </w:pPr>
            <w:r>
              <w:rPr>
                <w:rFonts w:cs="Arial"/>
              </w:rPr>
              <w:t xml:space="preserve">UK </w:t>
            </w:r>
            <w:r w:rsidRPr="009838F1">
              <w:rPr>
                <w:rFonts w:cs="Arial"/>
              </w:rPr>
              <w:t>Main Market</w:t>
            </w:r>
          </w:p>
        </w:tc>
        <w:tc>
          <w:tcPr>
            <w:tcW w:w="2835" w:type="dxa"/>
            <w:vAlign w:val="bottom"/>
          </w:tcPr>
          <w:p w14:paraId="31764A4F" w14:textId="77777777" w:rsidR="00A80A37" w:rsidRPr="003413FC" w:rsidRDefault="00A80A37" w:rsidP="0017626E">
            <w:pPr>
              <w:spacing w:before="80" w:after="80" w:line="276" w:lineRule="auto"/>
              <w:jc w:val="center"/>
              <w:rPr>
                <w:rFonts w:cs="Arial"/>
                <w:i/>
              </w:rPr>
            </w:pPr>
            <w:r>
              <w:rPr>
                <w:rFonts w:cs="Arial"/>
              </w:rPr>
              <w:t>339</w:t>
            </w:r>
          </w:p>
        </w:tc>
      </w:tr>
      <w:tr w:rsidR="00A80A37" w14:paraId="6FE07210" w14:textId="77777777" w:rsidTr="0017626E">
        <w:tc>
          <w:tcPr>
            <w:tcW w:w="2835" w:type="dxa"/>
            <w:shd w:val="clear" w:color="auto" w:fill="F2F2F2" w:themeFill="background1" w:themeFillShade="F2"/>
            <w:vAlign w:val="bottom"/>
          </w:tcPr>
          <w:p w14:paraId="7C7F5807" w14:textId="77777777" w:rsidR="00A80A37" w:rsidRPr="009838F1" w:rsidRDefault="00A80A37" w:rsidP="0017626E">
            <w:pPr>
              <w:spacing w:before="80" w:after="80" w:line="276" w:lineRule="auto"/>
              <w:rPr>
                <w:rFonts w:cs="Arial"/>
                <w:b/>
                <w:bCs/>
              </w:rPr>
            </w:pPr>
            <w:r w:rsidRPr="009838F1">
              <w:rPr>
                <w:rFonts w:cs="Arial"/>
                <w:b/>
                <w:bCs/>
              </w:rPr>
              <w:t>Grand Total</w:t>
            </w:r>
          </w:p>
        </w:tc>
        <w:tc>
          <w:tcPr>
            <w:tcW w:w="2835" w:type="dxa"/>
            <w:shd w:val="clear" w:color="auto" w:fill="F2F2F2" w:themeFill="background1" w:themeFillShade="F2"/>
            <w:vAlign w:val="bottom"/>
          </w:tcPr>
          <w:p w14:paraId="3C60FD41" w14:textId="77777777" w:rsidR="00A80A37" w:rsidRPr="003413FC" w:rsidRDefault="00A80A37" w:rsidP="0017626E">
            <w:pPr>
              <w:spacing w:before="80" w:after="80" w:line="276" w:lineRule="auto"/>
              <w:jc w:val="center"/>
              <w:rPr>
                <w:rFonts w:cs="Arial"/>
                <w:b/>
                <w:bCs/>
                <w:i/>
              </w:rPr>
            </w:pPr>
            <w:r>
              <w:rPr>
                <w:rFonts w:cs="Arial"/>
                <w:b/>
                <w:bCs/>
              </w:rPr>
              <w:t>957</w:t>
            </w:r>
          </w:p>
        </w:tc>
      </w:tr>
    </w:tbl>
    <w:p w14:paraId="1084CCA5" w14:textId="77777777" w:rsidR="00A80A37" w:rsidRDefault="00A80A37" w:rsidP="00A80A37">
      <w:pPr>
        <w:jc w:val="both"/>
        <w:rPr>
          <w:rFonts w:ascii="Calibri" w:hAnsi="Calibri" w:cs="Calibri"/>
          <w:b/>
        </w:rPr>
      </w:pPr>
    </w:p>
    <w:p w14:paraId="51ABA118" w14:textId="7729BC0B" w:rsidR="00A80A37" w:rsidRPr="000A4031" w:rsidRDefault="00A80A37" w:rsidP="00A80A37">
      <w:pPr>
        <w:jc w:val="both"/>
        <w:rPr>
          <w:rFonts w:ascii="Calibri" w:hAnsi="Calibri" w:cs="Calibri"/>
          <w:b/>
        </w:rPr>
      </w:pPr>
      <w:r w:rsidRPr="00BD385C">
        <w:rPr>
          <w:rFonts w:ascii="Calibri" w:hAnsi="Calibri" w:cs="Calibri"/>
          <w:b/>
        </w:rPr>
        <w:t xml:space="preserve">New Issues on London Stock Exchange (1 January 2017 – 31 December 2017) </w:t>
      </w:r>
      <w:r w:rsidRPr="00BD385C">
        <w:rPr>
          <w:rStyle w:val="FootnoteReference"/>
          <w:rFonts w:ascii="Calibri" w:hAnsi="Calibri" w:cs="Calibri"/>
          <w:b/>
        </w:rPr>
        <w:footnoteReference w:id="38"/>
      </w:r>
    </w:p>
    <w:tbl>
      <w:tblPr>
        <w:tblStyle w:val="TableGrid"/>
        <w:tblW w:w="0" w:type="auto"/>
        <w:tblInd w:w="108" w:type="dxa"/>
        <w:tblLook w:val="04A0" w:firstRow="1" w:lastRow="0" w:firstColumn="1" w:lastColumn="0" w:noHBand="0" w:noVBand="1"/>
      </w:tblPr>
      <w:tblGrid>
        <w:gridCol w:w="2381"/>
        <w:gridCol w:w="1515"/>
        <w:gridCol w:w="2825"/>
        <w:gridCol w:w="2799"/>
      </w:tblGrid>
      <w:tr w:rsidR="00A80A37" w:rsidRPr="0072089E" w14:paraId="6209577F" w14:textId="77777777" w:rsidTr="0017626E">
        <w:tc>
          <w:tcPr>
            <w:tcW w:w="2410" w:type="dxa"/>
            <w:shd w:val="clear" w:color="auto" w:fill="F2F2F2" w:themeFill="background1" w:themeFillShade="F2"/>
            <w:vAlign w:val="bottom"/>
          </w:tcPr>
          <w:p w14:paraId="404FF6AD" w14:textId="77777777" w:rsidR="00A80A37" w:rsidRPr="0072089E" w:rsidRDefault="00A80A37" w:rsidP="0017626E">
            <w:pPr>
              <w:spacing w:before="80" w:after="80" w:line="276" w:lineRule="auto"/>
              <w:rPr>
                <w:rFonts w:cs="Arial"/>
                <w:b/>
                <w:bCs/>
              </w:rPr>
            </w:pPr>
            <w:r w:rsidRPr="0072089E">
              <w:rPr>
                <w:rFonts w:cs="Arial"/>
                <w:b/>
                <w:bCs/>
              </w:rPr>
              <w:t>Market</w:t>
            </w:r>
          </w:p>
        </w:tc>
        <w:tc>
          <w:tcPr>
            <w:tcW w:w="1532" w:type="dxa"/>
            <w:shd w:val="clear" w:color="auto" w:fill="F2F2F2" w:themeFill="background1" w:themeFillShade="F2"/>
            <w:vAlign w:val="bottom"/>
          </w:tcPr>
          <w:p w14:paraId="56B72656" w14:textId="77777777" w:rsidR="00A80A37" w:rsidRPr="0072089E" w:rsidRDefault="00A80A37" w:rsidP="0017626E">
            <w:pPr>
              <w:spacing w:before="80" w:after="80" w:line="276" w:lineRule="auto"/>
              <w:rPr>
                <w:rFonts w:cs="Arial"/>
                <w:b/>
                <w:bCs/>
              </w:rPr>
            </w:pPr>
            <w:r w:rsidRPr="0072089E">
              <w:rPr>
                <w:rFonts w:cs="Arial"/>
                <w:b/>
                <w:bCs/>
              </w:rPr>
              <w:t xml:space="preserve">Type of </w:t>
            </w:r>
            <w:r>
              <w:rPr>
                <w:rFonts w:cs="Arial"/>
                <w:b/>
                <w:bCs/>
              </w:rPr>
              <w:t>n</w:t>
            </w:r>
            <w:r w:rsidRPr="0072089E">
              <w:rPr>
                <w:rFonts w:cs="Arial"/>
                <w:b/>
                <w:bCs/>
              </w:rPr>
              <w:t xml:space="preserve">ew </w:t>
            </w:r>
            <w:r>
              <w:rPr>
                <w:rFonts w:cs="Arial"/>
                <w:b/>
                <w:bCs/>
              </w:rPr>
              <w:t>i</w:t>
            </w:r>
            <w:r w:rsidRPr="0072089E">
              <w:rPr>
                <w:rFonts w:cs="Arial"/>
                <w:b/>
                <w:bCs/>
              </w:rPr>
              <w:t>ssue</w:t>
            </w:r>
          </w:p>
        </w:tc>
        <w:tc>
          <w:tcPr>
            <w:tcW w:w="2862" w:type="dxa"/>
            <w:shd w:val="clear" w:color="auto" w:fill="F2F2F2" w:themeFill="background1" w:themeFillShade="F2"/>
            <w:vAlign w:val="bottom"/>
          </w:tcPr>
          <w:p w14:paraId="4B4682C4" w14:textId="77777777" w:rsidR="00A80A37" w:rsidRPr="0072089E" w:rsidRDefault="00A80A37" w:rsidP="0017626E">
            <w:pPr>
              <w:spacing w:before="80" w:after="80" w:line="276" w:lineRule="auto"/>
              <w:rPr>
                <w:rFonts w:cs="Arial"/>
                <w:b/>
                <w:bCs/>
              </w:rPr>
            </w:pPr>
            <w:r>
              <w:rPr>
                <w:rFonts w:cs="Arial"/>
                <w:b/>
                <w:bCs/>
              </w:rPr>
              <w:t>Number of the t</w:t>
            </w:r>
            <w:r w:rsidRPr="0072089E">
              <w:rPr>
                <w:rFonts w:cs="Arial"/>
                <w:b/>
                <w:bCs/>
              </w:rPr>
              <w:t xml:space="preserve">ypes of </w:t>
            </w:r>
            <w:r>
              <w:rPr>
                <w:rFonts w:cs="Arial"/>
                <w:b/>
                <w:bCs/>
              </w:rPr>
              <w:t>new i</w:t>
            </w:r>
            <w:r w:rsidRPr="0072089E">
              <w:rPr>
                <w:rFonts w:cs="Arial"/>
                <w:b/>
                <w:bCs/>
              </w:rPr>
              <w:t>ssue</w:t>
            </w:r>
          </w:p>
        </w:tc>
        <w:tc>
          <w:tcPr>
            <w:tcW w:w="2835" w:type="dxa"/>
            <w:shd w:val="clear" w:color="auto" w:fill="F2F2F2" w:themeFill="background1" w:themeFillShade="F2"/>
            <w:vAlign w:val="bottom"/>
          </w:tcPr>
          <w:p w14:paraId="6B1364A7" w14:textId="77777777" w:rsidR="00A80A37" w:rsidRPr="0072089E" w:rsidRDefault="00A80A37" w:rsidP="0017626E">
            <w:pPr>
              <w:spacing w:before="80" w:after="80" w:line="276" w:lineRule="auto"/>
              <w:rPr>
                <w:rFonts w:cs="Arial"/>
                <w:b/>
                <w:bCs/>
              </w:rPr>
            </w:pPr>
            <w:r>
              <w:rPr>
                <w:rFonts w:cs="Arial"/>
                <w:b/>
                <w:bCs/>
              </w:rPr>
              <w:t>Number of new issues that r</w:t>
            </w:r>
            <w:r w:rsidRPr="0072089E">
              <w:rPr>
                <w:rFonts w:cs="Arial"/>
                <w:b/>
                <w:bCs/>
              </w:rPr>
              <w:t xml:space="preserve">aised </w:t>
            </w:r>
            <w:r>
              <w:rPr>
                <w:rFonts w:cs="Arial"/>
                <w:b/>
                <w:bCs/>
              </w:rPr>
              <w:t>m</w:t>
            </w:r>
            <w:r w:rsidRPr="0072089E">
              <w:rPr>
                <w:rFonts w:cs="Arial"/>
                <w:b/>
                <w:bCs/>
              </w:rPr>
              <w:t>oney</w:t>
            </w:r>
          </w:p>
        </w:tc>
      </w:tr>
      <w:tr w:rsidR="00A80A37" w:rsidRPr="0072089E" w14:paraId="349DA546" w14:textId="77777777" w:rsidTr="0017626E">
        <w:tc>
          <w:tcPr>
            <w:tcW w:w="2410" w:type="dxa"/>
            <w:vAlign w:val="bottom"/>
          </w:tcPr>
          <w:p w14:paraId="1B6E94A8" w14:textId="77777777" w:rsidR="00A80A37" w:rsidRPr="0072089E" w:rsidRDefault="00A80A37" w:rsidP="0017626E">
            <w:pPr>
              <w:spacing w:before="80" w:after="80" w:line="276" w:lineRule="auto"/>
              <w:rPr>
                <w:rFonts w:cs="Arial"/>
              </w:rPr>
            </w:pPr>
            <w:r w:rsidRPr="0072089E">
              <w:rPr>
                <w:rFonts w:cs="Arial"/>
              </w:rPr>
              <w:t>AIM</w:t>
            </w:r>
          </w:p>
        </w:tc>
        <w:tc>
          <w:tcPr>
            <w:tcW w:w="1532" w:type="dxa"/>
            <w:vAlign w:val="bottom"/>
          </w:tcPr>
          <w:p w14:paraId="7C49AB9F" w14:textId="77777777" w:rsidR="00A80A37" w:rsidRPr="0072089E" w:rsidRDefault="00A80A37" w:rsidP="0017626E">
            <w:pPr>
              <w:spacing w:before="80" w:after="80" w:line="276" w:lineRule="auto"/>
              <w:rPr>
                <w:rFonts w:cs="Arial"/>
              </w:rPr>
            </w:pPr>
            <w:r w:rsidRPr="0072089E">
              <w:rPr>
                <w:rFonts w:cs="Arial"/>
              </w:rPr>
              <w:t>IPO</w:t>
            </w:r>
          </w:p>
        </w:tc>
        <w:tc>
          <w:tcPr>
            <w:tcW w:w="2862" w:type="dxa"/>
            <w:vAlign w:val="bottom"/>
          </w:tcPr>
          <w:p w14:paraId="3149F49D" w14:textId="77777777" w:rsidR="00A80A37" w:rsidRPr="002F5EB3" w:rsidRDefault="00A80A37" w:rsidP="0017626E">
            <w:pPr>
              <w:spacing w:before="80" w:after="80" w:line="276" w:lineRule="auto"/>
              <w:jc w:val="center"/>
              <w:rPr>
                <w:rFonts w:cs="Arial"/>
              </w:rPr>
            </w:pPr>
            <w:r w:rsidRPr="002F5EB3">
              <w:rPr>
                <w:rFonts w:cs="Arial"/>
              </w:rPr>
              <w:t>50</w:t>
            </w:r>
          </w:p>
        </w:tc>
        <w:tc>
          <w:tcPr>
            <w:tcW w:w="2835" w:type="dxa"/>
            <w:vAlign w:val="bottom"/>
          </w:tcPr>
          <w:p w14:paraId="7D39FCA1" w14:textId="77777777" w:rsidR="00A80A37" w:rsidRPr="002F5EB3" w:rsidRDefault="00A80A37" w:rsidP="0017626E">
            <w:pPr>
              <w:spacing w:before="80" w:after="80" w:line="276" w:lineRule="auto"/>
              <w:jc w:val="center"/>
              <w:rPr>
                <w:rFonts w:cs="Arial"/>
              </w:rPr>
            </w:pPr>
            <w:r>
              <w:rPr>
                <w:rFonts w:cs="Arial"/>
              </w:rPr>
              <w:t>48</w:t>
            </w:r>
          </w:p>
        </w:tc>
      </w:tr>
      <w:tr w:rsidR="00A80A37" w:rsidRPr="0072089E" w14:paraId="2FE8F122" w14:textId="77777777" w:rsidTr="0017626E">
        <w:tc>
          <w:tcPr>
            <w:tcW w:w="2410" w:type="dxa"/>
            <w:vAlign w:val="bottom"/>
          </w:tcPr>
          <w:p w14:paraId="1EDA40C7" w14:textId="77777777" w:rsidR="00A80A37" w:rsidRPr="0072089E" w:rsidRDefault="00A80A37" w:rsidP="0017626E">
            <w:pPr>
              <w:spacing w:before="80" w:after="80" w:line="276" w:lineRule="auto"/>
              <w:rPr>
                <w:rFonts w:cs="Arial"/>
              </w:rPr>
            </w:pPr>
          </w:p>
        </w:tc>
        <w:tc>
          <w:tcPr>
            <w:tcW w:w="1532" w:type="dxa"/>
            <w:vAlign w:val="bottom"/>
          </w:tcPr>
          <w:p w14:paraId="35F3DDAC" w14:textId="77777777" w:rsidR="00A80A37" w:rsidRPr="0072089E" w:rsidRDefault="00A80A37" w:rsidP="0017626E">
            <w:pPr>
              <w:spacing w:before="80" w:after="80" w:line="276" w:lineRule="auto"/>
              <w:rPr>
                <w:rFonts w:cs="Arial"/>
              </w:rPr>
            </w:pPr>
            <w:r w:rsidRPr="0072089E">
              <w:rPr>
                <w:rFonts w:cs="Arial"/>
              </w:rPr>
              <w:t>Not IPO</w:t>
            </w:r>
            <w:r w:rsidRPr="0072089E">
              <w:rPr>
                <w:rStyle w:val="FootnoteReference"/>
                <w:rFonts w:cs="Arial"/>
              </w:rPr>
              <w:footnoteReference w:id="39"/>
            </w:r>
          </w:p>
        </w:tc>
        <w:tc>
          <w:tcPr>
            <w:tcW w:w="2862" w:type="dxa"/>
            <w:vAlign w:val="bottom"/>
          </w:tcPr>
          <w:p w14:paraId="678BDEFB" w14:textId="77777777" w:rsidR="00A80A37" w:rsidRPr="002F5EB3" w:rsidRDefault="00A80A37" w:rsidP="0017626E">
            <w:pPr>
              <w:spacing w:before="80" w:after="80" w:line="276" w:lineRule="auto"/>
              <w:jc w:val="center"/>
              <w:rPr>
                <w:rFonts w:cs="Arial"/>
              </w:rPr>
            </w:pPr>
            <w:r w:rsidRPr="002F5EB3">
              <w:rPr>
                <w:rFonts w:cs="Arial"/>
              </w:rPr>
              <w:t>30</w:t>
            </w:r>
          </w:p>
        </w:tc>
        <w:tc>
          <w:tcPr>
            <w:tcW w:w="2835" w:type="dxa"/>
            <w:vAlign w:val="bottom"/>
          </w:tcPr>
          <w:p w14:paraId="7BF638AB" w14:textId="77777777" w:rsidR="00A80A37" w:rsidRPr="002F5EB3" w:rsidRDefault="00A80A37" w:rsidP="0017626E">
            <w:pPr>
              <w:spacing w:before="80" w:after="80" w:line="276" w:lineRule="auto"/>
              <w:jc w:val="center"/>
              <w:rPr>
                <w:rFonts w:cs="Arial"/>
              </w:rPr>
            </w:pPr>
            <w:r>
              <w:rPr>
                <w:rFonts w:cs="Arial"/>
              </w:rPr>
              <w:t>15</w:t>
            </w:r>
          </w:p>
        </w:tc>
      </w:tr>
      <w:tr w:rsidR="00A80A37" w:rsidRPr="0072089E" w14:paraId="7C4BFC4F" w14:textId="77777777" w:rsidTr="0017626E">
        <w:tc>
          <w:tcPr>
            <w:tcW w:w="3942" w:type="dxa"/>
            <w:gridSpan w:val="2"/>
            <w:vAlign w:val="bottom"/>
          </w:tcPr>
          <w:p w14:paraId="16776651" w14:textId="77777777" w:rsidR="00A80A37" w:rsidRPr="0072089E" w:rsidRDefault="00A80A37" w:rsidP="0017626E">
            <w:pPr>
              <w:spacing w:before="80" w:after="80" w:line="276" w:lineRule="auto"/>
              <w:rPr>
                <w:rFonts w:cs="Arial"/>
              </w:rPr>
            </w:pPr>
            <w:r w:rsidRPr="0072089E">
              <w:rPr>
                <w:rFonts w:cs="Arial"/>
                <w:b/>
                <w:bCs/>
              </w:rPr>
              <w:t>AIM Total</w:t>
            </w:r>
          </w:p>
        </w:tc>
        <w:tc>
          <w:tcPr>
            <w:tcW w:w="2862" w:type="dxa"/>
            <w:vAlign w:val="bottom"/>
          </w:tcPr>
          <w:p w14:paraId="7D9CF768" w14:textId="77777777" w:rsidR="00A80A37" w:rsidRPr="002F5EB3" w:rsidRDefault="00A80A37" w:rsidP="0017626E">
            <w:pPr>
              <w:spacing w:before="80" w:after="80" w:line="276" w:lineRule="auto"/>
              <w:jc w:val="center"/>
              <w:rPr>
                <w:rFonts w:cs="Arial"/>
                <w:b/>
                <w:bCs/>
              </w:rPr>
            </w:pPr>
            <w:r w:rsidRPr="002F5EB3">
              <w:rPr>
                <w:rFonts w:cs="Arial"/>
                <w:b/>
                <w:bCs/>
              </w:rPr>
              <w:t>80</w:t>
            </w:r>
          </w:p>
        </w:tc>
        <w:tc>
          <w:tcPr>
            <w:tcW w:w="2835" w:type="dxa"/>
            <w:vAlign w:val="bottom"/>
          </w:tcPr>
          <w:p w14:paraId="09CC43A6" w14:textId="77777777" w:rsidR="00A80A37" w:rsidRPr="003413FC" w:rsidRDefault="00A80A37" w:rsidP="0017626E">
            <w:pPr>
              <w:spacing w:before="80" w:after="80" w:line="276" w:lineRule="auto"/>
              <w:jc w:val="center"/>
              <w:rPr>
                <w:rFonts w:cs="Arial"/>
                <w:b/>
                <w:bCs/>
                <w:i/>
              </w:rPr>
            </w:pPr>
            <w:r w:rsidRPr="002F5EB3">
              <w:rPr>
                <w:rFonts w:cs="Arial"/>
                <w:b/>
                <w:bCs/>
              </w:rPr>
              <w:t>63</w:t>
            </w:r>
          </w:p>
        </w:tc>
      </w:tr>
      <w:tr w:rsidR="00A80A37" w:rsidRPr="0072089E" w14:paraId="595A5652" w14:textId="77777777" w:rsidTr="0017626E">
        <w:tc>
          <w:tcPr>
            <w:tcW w:w="9639" w:type="dxa"/>
            <w:gridSpan w:val="4"/>
            <w:shd w:val="clear" w:color="auto" w:fill="F2F2F2" w:themeFill="background1" w:themeFillShade="F2"/>
            <w:vAlign w:val="bottom"/>
          </w:tcPr>
          <w:p w14:paraId="0A1B6E12" w14:textId="77777777" w:rsidR="00A80A37" w:rsidRPr="002F5EB3" w:rsidRDefault="00A80A37" w:rsidP="0017626E">
            <w:pPr>
              <w:spacing w:line="276" w:lineRule="auto"/>
              <w:rPr>
                <w:rFonts w:cs="Arial"/>
                <w:b/>
                <w:bCs/>
              </w:rPr>
            </w:pPr>
          </w:p>
        </w:tc>
      </w:tr>
      <w:tr w:rsidR="00A80A37" w:rsidRPr="0072089E" w14:paraId="7038A1B5" w14:textId="77777777" w:rsidTr="0017626E">
        <w:tc>
          <w:tcPr>
            <w:tcW w:w="2410" w:type="dxa"/>
            <w:vAlign w:val="bottom"/>
          </w:tcPr>
          <w:p w14:paraId="79AE60F3" w14:textId="77777777" w:rsidR="00A80A37" w:rsidRPr="0072089E" w:rsidRDefault="00A80A37" w:rsidP="0017626E">
            <w:pPr>
              <w:spacing w:before="80" w:after="80" w:line="276" w:lineRule="auto"/>
              <w:rPr>
                <w:rFonts w:cs="Arial"/>
              </w:rPr>
            </w:pPr>
            <w:r>
              <w:rPr>
                <w:rFonts w:cs="Arial"/>
              </w:rPr>
              <w:t xml:space="preserve">UK </w:t>
            </w:r>
            <w:r w:rsidRPr="0072089E">
              <w:rPr>
                <w:rFonts w:cs="Arial"/>
              </w:rPr>
              <w:t>Main Market</w:t>
            </w:r>
          </w:p>
        </w:tc>
        <w:tc>
          <w:tcPr>
            <w:tcW w:w="1532" w:type="dxa"/>
            <w:vAlign w:val="bottom"/>
          </w:tcPr>
          <w:p w14:paraId="31CA5053" w14:textId="77777777" w:rsidR="00A80A37" w:rsidRPr="0072089E" w:rsidRDefault="00A80A37" w:rsidP="0017626E">
            <w:pPr>
              <w:spacing w:before="80" w:after="80" w:line="276" w:lineRule="auto"/>
              <w:rPr>
                <w:rFonts w:cs="Arial"/>
              </w:rPr>
            </w:pPr>
            <w:r w:rsidRPr="0072089E">
              <w:rPr>
                <w:rFonts w:cs="Arial"/>
              </w:rPr>
              <w:t>IPO</w:t>
            </w:r>
          </w:p>
        </w:tc>
        <w:tc>
          <w:tcPr>
            <w:tcW w:w="2862" w:type="dxa"/>
            <w:vAlign w:val="bottom"/>
          </w:tcPr>
          <w:p w14:paraId="39785858" w14:textId="77777777" w:rsidR="00A80A37" w:rsidRPr="002F5EB3" w:rsidRDefault="00A80A37" w:rsidP="0017626E">
            <w:pPr>
              <w:spacing w:before="80" w:after="80" w:line="276" w:lineRule="auto"/>
              <w:jc w:val="center"/>
              <w:rPr>
                <w:rFonts w:cs="Arial"/>
              </w:rPr>
            </w:pPr>
            <w:r w:rsidRPr="002F5EB3">
              <w:rPr>
                <w:rFonts w:cs="Arial"/>
              </w:rPr>
              <w:t>46</w:t>
            </w:r>
          </w:p>
        </w:tc>
        <w:tc>
          <w:tcPr>
            <w:tcW w:w="2835" w:type="dxa"/>
            <w:vAlign w:val="bottom"/>
          </w:tcPr>
          <w:p w14:paraId="58E1F9CA" w14:textId="77777777" w:rsidR="00A80A37" w:rsidRPr="002F5EB3" w:rsidRDefault="00A80A37" w:rsidP="0017626E">
            <w:pPr>
              <w:spacing w:before="80" w:after="80" w:line="276" w:lineRule="auto"/>
              <w:jc w:val="center"/>
              <w:rPr>
                <w:rFonts w:cs="Arial"/>
              </w:rPr>
            </w:pPr>
            <w:r>
              <w:rPr>
                <w:rFonts w:cs="Arial"/>
              </w:rPr>
              <w:t>43</w:t>
            </w:r>
          </w:p>
        </w:tc>
      </w:tr>
      <w:tr w:rsidR="00A80A37" w:rsidRPr="00BC5CD8" w14:paraId="74DA7514" w14:textId="77777777" w:rsidTr="0017626E">
        <w:tc>
          <w:tcPr>
            <w:tcW w:w="2410" w:type="dxa"/>
            <w:vAlign w:val="bottom"/>
          </w:tcPr>
          <w:p w14:paraId="47A0891A" w14:textId="77777777" w:rsidR="00A80A37" w:rsidRPr="0072089E" w:rsidRDefault="00A80A37" w:rsidP="0017626E">
            <w:pPr>
              <w:spacing w:before="80" w:after="80" w:line="276" w:lineRule="auto"/>
              <w:rPr>
                <w:rFonts w:cs="Arial"/>
              </w:rPr>
            </w:pPr>
          </w:p>
        </w:tc>
        <w:tc>
          <w:tcPr>
            <w:tcW w:w="1532" w:type="dxa"/>
            <w:vAlign w:val="bottom"/>
          </w:tcPr>
          <w:p w14:paraId="74B87718" w14:textId="77777777" w:rsidR="00A80A37" w:rsidRPr="0072089E" w:rsidRDefault="00A80A37" w:rsidP="0017626E">
            <w:pPr>
              <w:spacing w:before="80" w:after="80" w:line="276" w:lineRule="auto"/>
              <w:rPr>
                <w:rFonts w:cs="Arial"/>
              </w:rPr>
            </w:pPr>
            <w:r w:rsidRPr="0072089E">
              <w:rPr>
                <w:rFonts w:cs="Arial"/>
              </w:rPr>
              <w:t>Not IPO</w:t>
            </w:r>
          </w:p>
        </w:tc>
        <w:tc>
          <w:tcPr>
            <w:tcW w:w="2862" w:type="dxa"/>
            <w:vAlign w:val="bottom"/>
          </w:tcPr>
          <w:p w14:paraId="63BDCCF3" w14:textId="77777777" w:rsidR="00A80A37" w:rsidRPr="002F5EB3" w:rsidRDefault="00A80A37" w:rsidP="0017626E">
            <w:pPr>
              <w:spacing w:before="80" w:after="80" w:line="276" w:lineRule="auto"/>
              <w:jc w:val="center"/>
              <w:rPr>
                <w:rFonts w:cs="Arial"/>
              </w:rPr>
            </w:pPr>
            <w:r w:rsidRPr="002F5EB3">
              <w:rPr>
                <w:rFonts w:cs="Arial"/>
              </w:rPr>
              <w:t>19</w:t>
            </w:r>
          </w:p>
        </w:tc>
        <w:tc>
          <w:tcPr>
            <w:tcW w:w="2835" w:type="dxa"/>
            <w:vAlign w:val="bottom"/>
          </w:tcPr>
          <w:p w14:paraId="036C8296" w14:textId="77777777" w:rsidR="00A80A37" w:rsidRPr="002F5EB3" w:rsidRDefault="00A80A37" w:rsidP="0017626E">
            <w:pPr>
              <w:spacing w:before="80" w:after="80" w:line="276" w:lineRule="auto"/>
              <w:jc w:val="center"/>
              <w:rPr>
                <w:rFonts w:cs="Arial"/>
              </w:rPr>
            </w:pPr>
            <w:r>
              <w:rPr>
                <w:rFonts w:cs="Arial"/>
              </w:rPr>
              <w:t>7</w:t>
            </w:r>
          </w:p>
        </w:tc>
      </w:tr>
      <w:tr w:rsidR="00A80A37" w:rsidRPr="00BC5CD8" w14:paraId="17B47B81" w14:textId="77777777" w:rsidTr="0017626E">
        <w:tc>
          <w:tcPr>
            <w:tcW w:w="3942" w:type="dxa"/>
            <w:gridSpan w:val="2"/>
            <w:vAlign w:val="bottom"/>
          </w:tcPr>
          <w:p w14:paraId="7BCA7021" w14:textId="77777777" w:rsidR="00A80A37" w:rsidRPr="00353184" w:rsidRDefault="00A80A37" w:rsidP="0017626E">
            <w:pPr>
              <w:spacing w:before="80" w:after="80" w:line="276" w:lineRule="auto"/>
              <w:rPr>
                <w:rFonts w:cs="Arial"/>
              </w:rPr>
            </w:pPr>
            <w:r>
              <w:rPr>
                <w:rFonts w:cs="Arial"/>
                <w:b/>
                <w:bCs/>
              </w:rPr>
              <w:t xml:space="preserve">UK </w:t>
            </w:r>
            <w:r w:rsidRPr="00353184">
              <w:rPr>
                <w:rFonts w:cs="Arial"/>
                <w:b/>
                <w:bCs/>
              </w:rPr>
              <w:t>Main Market Total</w:t>
            </w:r>
          </w:p>
        </w:tc>
        <w:tc>
          <w:tcPr>
            <w:tcW w:w="2862" w:type="dxa"/>
            <w:vAlign w:val="bottom"/>
          </w:tcPr>
          <w:p w14:paraId="203CA989" w14:textId="77777777" w:rsidR="00A80A37" w:rsidRPr="002F5EB3" w:rsidRDefault="00A80A37" w:rsidP="0017626E">
            <w:pPr>
              <w:spacing w:before="80" w:after="80" w:line="276" w:lineRule="auto"/>
              <w:jc w:val="center"/>
              <w:rPr>
                <w:rFonts w:cs="Arial"/>
                <w:b/>
                <w:bCs/>
              </w:rPr>
            </w:pPr>
            <w:r w:rsidRPr="002F5EB3">
              <w:rPr>
                <w:rFonts w:cs="Arial"/>
                <w:b/>
                <w:bCs/>
              </w:rPr>
              <w:t>65</w:t>
            </w:r>
          </w:p>
        </w:tc>
        <w:tc>
          <w:tcPr>
            <w:tcW w:w="2835" w:type="dxa"/>
            <w:vAlign w:val="bottom"/>
          </w:tcPr>
          <w:p w14:paraId="5240B6DF" w14:textId="77777777" w:rsidR="00A80A37" w:rsidRPr="002F5EB3" w:rsidRDefault="00A80A37" w:rsidP="0017626E">
            <w:pPr>
              <w:spacing w:before="80" w:after="80" w:line="276" w:lineRule="auto"/>
              <w:jc w:val="center"/>
              <w:rPr>
                <w:rFonts w:cs="Arial"/>
                <w:b/>
                <w:bCs/>
              </w:rPr>
            </w:pPr>
            <w:r>
              <w:rPr>
                <w:rFonts w:cs="Arial"/>
                <w:b/>
                <w:bCs/>
              </w:rPr>
              <w:t>50</w:t>
            </w:r>
          </w:p>
        </w:tc>
      </w:tr>
      <w:tr w:rsidR="00A80A37" w14:paraId="4B539814" w14:textId="77777777" w:rsidTr="0017626E">
        <w:trPr>
          <w:trHeight w:val="365"/>
        </w:trPr>
        <w:tc>
          <w:tcPr>
            <w:tcW w:w="3942" w:type="dxa"/>
            <w:gridSpan w:val="2"/>
            <w:shd w:val="clear" w:color="auto" w:fill="F2F2F2" w:themeFill="background1" w:themeFillShade="F2"/>
            <w:vAlign w:val="bottom"/>
          </w:tcPr>
          <w:p w14:paraId="01F2CC53" w14:textId="77777777" w:rsidR="00A80A37" w:rsidRPr="00353184" w:rsidRDefault="00A80A37" w:rsidP="0017626E">
            <w:pPr>
              <w:spacing w:before="80" w:after="80" w:line="276" w:lineRule="auto"/>
              <w:rPr>
                <w:rFonts w:cs="Arial"/>
                <w:b/>
                <w:bCs/>
              </w:rPr>
            </w:pPr>
            <w:r w:rsidRPr="00353184">
              <w:rPr>
                <w:rFonts w:cs="Arial"/>
                <w:b/>
                <w:bCs/>
              </w:rPr>
              <w:t>Grand Total</w:t>
            </w:r>
          </w:p>
        </w:tc>
        <w:tc>
          <w:tcPr>
            <w:tcW w:w="2862" w:type="dxa"/>
            <w:shd w:val="clear" w:color="auto" w:fill="F2F2F2" w:themeFill="background1" w:themeFillShade="F2"/>
            <w:vAlign w:val="bottom"/>
          </w:tcPr>
          <w:p w14:paraId="5A953211" w14:textId="77777777" w:rsidR="00A80A37" w:rsidRPr="002F5EB3" w:rsidRDefault="00A80A37" w:rsidP="0017626E">
            <w:pPr>
              <w:spacing w:before="80" w:after="80" w:line="276" w:lineRule="auto"/>
              <w:jc w:val="center"/>
              <w:rPr>
                <w:rFonts w:cs="Arial"/>
                <w:b/>
                <w:bCs/>
              </w:rPr>
            </w:pPr>
            <w:r w:rsidRPr="002F5EB3">
              <w:rPr>
                <w:rFonts w:cs="Arial"/>
                <w:b/>
                <w:bCs/>
              </w:rPr>
              <w:t>145</w:t>
            </w:r>
          </w:p>
        </w:tc>
        <w:tc>
          <w:tcPr>
            <w:tcW w:w="2835" w:type="dxa"/>
            <w:shd w:val="clear" w:color="auto" w:fill="F2F2F2" w:themeFill="background1" w:themeFillShade="F2"/>
            <w:vAlign w:val="bottom"/>
          </w:tcPr>
          <w:p w14:paraId="28AE8C92" w14:textId="77777777" w:rsidR="00A80A37" w:rsidRPr="002F5EB3" w:rsidRDefault="00A80A37" w:rsidP="0017626E">
            <w:pPr>
              <w:spacing w:before="80" w:after="80" w:line="276" w:lineRule="auto"/>
              <w:jc w:val="center"/>
              <w:rPr>
                <w:rFonts w:cs="Arial"/>
                <w:b/>
                <w:bCs/>
              </w:rPr>
            </w:pPr>
            <w:r>
              <w:rPr>
                <w:rFonts w:cs="Arial"/>
                <w:b/>
                <w:bCs/>
              </w:rPr>
              <w:t>113</w:t>
            </w:r>
          </w:p>
        </w:tc>
      </w:tr>
    </w:tbl>
    <w:p w14:paraId="60FE0557" w14:textId="000C2CA8" w:rsidR="002067B2" w:rsidRDefault="002067B2">
      <w:pPr>
        <w:sectPr w:rsidR="002067B2" w:rsidSect="00F27B7A">
          <w:pgSz w:w="11906" w:h="16838"/>
          <w:pgMar w:top="1134" w:right="1134" w:bottom="1134" w:left="1134" w:header="708" w:footer="708" w:gutter="0"/>
          <w:cols w:space="708"/>
          <w:docGrid w:linePitch="360"/>
        </w:sectPr>
      </w:pPr>
    </w:p>
    <w:p w14:paraId="0C1FBECA" w14:textId="3B99CE7B" w:rsidR="00D10877" w:rsidRPr="00541F6F" w:rsidRDefault="00D10877" w:rsidP="00D10877">
      <w:pPr>
        <w:pStyle w:val="Heading1"/>
        <w:spacing w:before="0" w:after="200"/>
        <w:jc w:val="both"/>
        <w:rPr>
          <w:rFonts w:ascii="Calibri" w:hAnsi="Calibri"/>
          <w:color w:val="FF0000"/>
          <w:sz w:val="24"/>
          <w:szCs w:val="22"/>
          <w:u w:val="single"/>
        </w:rPr>
      </w:pPr>
      <w:bookmarkStart w:id="20" w:name="_Toc19093868"/>
      <w:r w:rsidRPr="00541F6F">
        <w:rPr>
          <w:rFonts w:ascii="Calibri" w:hAnsi="Calibri"/>
          <w:color w:val="auto"/>
          <w:sz w:val="24"/>
          <w:szCs w:val="22"/>
          <w:u w:val="single"/>
        </w:rPr>
        <w:lastRenderedPageBreak/>
        <w:t xml:space="preserve">Appendix </w:t>
      </w:r>
      <w:r w:rsidR="007F4BBD" w:rsidRPr="00541F6F">
        <w:rPr>
          <w:rFonts w:ascii="Calibri" w:hAnsi="Calibri"/>
          <w:color w:val="auto"/>
          <w:sz w:val="24"/>
          <w:szCs w:val="22"/>
          <w:u w:val="single"/>
        </w:rPr>
        <w:t>C</w:t>
      </w:r>
      <w:r w:rsidRPr="00541F6F">
        <w:rPr>
          <w:rFonts w:ascii="Calibri" w:hAnsi="Calibri"/>
          <w:color w:val="auto"/>
          <w:sz w:val="24"/>
          <w:szCs w:val="22"/>
          <w:u w:val="single"/>
        </w:rPr>
        <w:t xml:space="preserve">: The </w:t>
      </w:r>
      <w:r w:rsidRPr="00A80A37">
        <w:rPr>
          <w:rFonts w:ascii="Calibri" w:hAnsi="Calibri"/>
          <w:color w:val="auto"/>
          <w:sz w:val="24"/>
          <w:szCs w:val="22"/>
          <w:u w:val="single"/>
        </w:rPr>
        <w:t>practical difficulties with the 5% Requirement</w:t>
      </w:r>
      <w:bookmarkEnd w:id="20"/>
    </w:p>
    <w:p w14:paraId="38E6F93D" w14:textId="59846303" w:rsidR="00D10877" w:rsidRDefault="00D10877" w:rsidP="00233725">
      <w:pPr>
        <w:tabs>
          <w:tab w:val="left" w:pos="3086"/>
        </w:tabs>
        <w:jc w:val="both"/>
        <w:rPr>
          <w:rFonts w:ascii="Calibri" w:hAnsi="Calibri" w:cs="Calibri"/>
          <w:b/>
          <w:sz w:val="24"/>
        </w:rPr>
      </w:pPr>
      <w:r w:rsidRPr="00F565A7">
        <w:rPr>
          <w:rFonts w:ascii="Calibri" w:hAnsi="Calibri"/>
          <w:noProof/>
          <w:lang w:eastAsia="en-GB"/>
        </w:rPr>
        <mc:AlternateContent>
          <mc:Choice Requires="wps">
            <w:drawing>
              <wp:anchor distT="0" distB="0" distL="114300" distR="114300" simplePos="0" relativeHeight="251656192" behindDoc="0" locked="0" layoutInCell="1" allowOverlap="1" wp14:anchorId="637A3EA5" wp14:editId="168C0B73">
                <wp:simplePos x="0" y="0"/>
                <wp:positionH relativeFrom="column">
                  <wp:posOffset>-47947</wp:posOffset>
                </wp:positionH>
                <wp:positionV relativeFrom="paragraph">
                  <wp:posOffset>118745</wp:posOffset>
                </wp:positionV>
                <wp:extent cx="6172200" cy="1403985"/>
                <wp:effectExtent l="0" t="0" r="19050" b="241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5A5C622C" w14:textId="79D0FCBB"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B</w:t>
                            </w:r>
                          </w:p>
                          <w:p w14:paraId="252F0887" w14:textId="77777777" w:rsidR="006A5868" w:rsidRPr="00F565A7" w:rsidRDefault="006A5868" w:rsidP="00D10877">
                            <w:pPr>
                              <w:spacing w:after="0"/>
                              <w:jc w:val="both"/>
                              <w:rPr>
                                <w:rFonts w:ascii="Calibri" w:hAnsi="Calibri"/>
                              </w:rPr>
                            </w:pPr>
                            <w:r w:rsidRPr="00F565A7">
                              <w:rPr>
                                <w:rFonts w:ascii="Calibri" w:hAnsi="Calibri"/>
                                <w:b/>
                              </w:rPr>
                              <w:t>Number of employees:</w:t>
                            </w:r>
                            <w:r w:rsidRPr="00F565A7">
                              <w:rPr>
                                <w:rFonts w:ascii="Calibri" w:hAnsi="Calibri"/>
                              </w:rPr>
                              <w:t xml:space="preserve"> 250</w:t>
                            </w:r>
                          </w:p>
                          <w:p w14:paraId="1866F504" w14:textId="77777777" w:rsidR="006A5868" w:rsidRDefault="006A5868" w:rsidP="00D10877">
                            <w:pPr>
                              <w:spacing w:after="0"/>
                              <w:jc w:val="both"/>
                              <w:rPr>
                                <w:rFonts w:ascii="Calibri" w:hAnsi="Calibri"/>
                              </w:rPr>
                            </w:pPr>
                            <w:r w:rsidRPr="00F565A7">
                              <w:rPr>
                                <w:rFonts w:ascii="Calibri" w:hAnsi="Calibri"/>
                                <w:b/>
                              </w:rPr>
                              <w:t>Turnover:</w:t>
                            </w:r>
                            <w:r w:rsidRPr="00F565A7">
                              <w:rPr>
                                <w:rFonts w:ascii="Calibri" w:hAnsi="Calibri"/>
                              </w:rPr>
                              <w:t xml:space="preserve"> £60</w:t>
                            </w:r>
                            <w:r>
                              <w:rPr>
                                <w:rFonts w:ascii="Calibri" w:hAnsi="Calibri"/>
                              </w:rPr>
                              <w:t xml:space="preserve"> </w:t>
                            </w:r>
                            <w:r w:rsidRPr="00F565A7">
                              <w:rPr>
                                <w:rFonts w:ascii="Calibri" w:hAnsi="Calibri"/>
                              </w:rPr>
                              <w:t>m</w:t>
                            </w:r>
                            <w:r>
                              <w:rPr>
                                <w:rFonts w:ascii="Calibri" w:hAnsi="Calibri"/>
                              </w:rPr>
                              <w:t>illion</w:t>
                            </w:r>
                          </w:p>
                          <w:p w14:paraId="40D2695A" w14:textId="77777777" w:rsidR="006A5868" w:rsidRPr="00F565A7" w:rsidRDefault="006A5868" w:rsidP="00D10877">
                            <w:pPr>
                              <w:spacing w:after="0"/>
                              <w:jc w:val="both"/>
                              <w:rPr>
                                <w:rFonts w:ascii="Calibri" w:hAnsi="Calibri"/>
                              </w:rPr>
                            </w:pPr>
                          </w:p>
                          <w:p w14:paraId="632085CC" w14:textId="0496CE79" w:rsidR="006A5868" w:rsidRDefault="006A5868" w:rsidP="00D10877">
                            <w:pPr>
                              <w:jc w:val="both"/>
                              <w:rPr>
                                <w:rFonts w:ascii="Calibri" w:hAnsi="Calibri"/>
                              </w:rPr>
                            </w:pPr>
                            <w:r w:rsidRPr="00F565A7">
                              <w:rPr>
                                <w:rFonts w:ascii="Calibri" w:hAnsi="Calibri"/>
                              </w:rPr>
                              <w:t xml:space="preserve">Company </w:t>
                            </w:r>
                            <w:r>
                              <w:rPr>
                                <w:rFonts w:ascii="Calibri" w:hAnsi="Calibri"/>
                              </w:rPr>
                              <w:t>B</w:t>
                            </w:r>
                            <w:r w:rsidRPr="00F565A7">
                              <w:rPr>
                                <w:rFonts w:ascii="Calibri" w:hAnsi="Calibri"/>
                              </w:rPr>
                              <w:t xml:space="preserve"> restructured</w:t>
                            </w:r>
                            <w:r>
                              <w:rPr>
                                <w:rFonts w:ascii="Calibri" w:hAnsi="Calibri"/>
                              </w:rPr>
                              <w:t xml:space="preserve"> as part of a new investment by a third party corporate and, as part of the restructuring, certain key employees and directors also invested significant sums in Company B and purchased shares. Commercially, the relevant individuals were meant to have less than 5% of the voting rights, but the restructuring </w:t>
                            </w:r>
                            <w:r w:rsidRPr="00F565A7">
                              <w:rPr>
                                <w:rFonts w:ascii="Calibri" w:hAnsi="Calibri"/>
                              </w:rPr>
                              <w:t>involved new holding companies so that the individuals could have more than 5% of the voting rights and ordinary share capital in the relevant holding companies and so should qualify for Entrepreneurs' Relief. New shareholders in the future could also be accommodated to qualify for Entrepreneurs' Relief, but further careful planning and negotiation with the other shareholders would be needed.</w:t>
                            </w:r>
                          </w:p>
                          <w:p w14:paraId="71B9D6B9"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management time</w:t>
                            </w:r>
                            <w:r>
                              <w:rPr>
                                <w:rFonts w:ascii="Calibri" w:hAnsi="Calibri"/>
                                <w:b/>
                              </w:rPr>
                              <w:t>:</w:t>
                            </w:r>
                            <w:r>
                              <w:rPr>
                                <w:rFonts w:ascii="Calibri" w:hAnsi="Calibri"/>
                              </w:rPr>
                              <w:t xml:space="preserve"> </w:t>
                            </w:r>
                            <w:r w:rsidRPr="00F565A7">
                              <w:rPr>
                                <w:rFonts w:ascii="Calibri" w:hAnsi="Calibri"/>
                              </w:rPr>
                              <w:t>£30,000</w:t>
                            </w:r>
                          </w:p>
                          <w:p w14:paraId="016F5B77"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advisor fees</w:t>
                            </w:r>
                            <w:r>
                              <w:rPr>
                                <w:rFonts w:ascii="Calibri" w:hAnsi="Calibri"/>
                                <w:b/>
                              </w:rPr>
                              <w:t>:</w:t>
                            </w:r>
                            <w:r w:rsidRPr="00F565A7">
                              <w:rPr>
                                <w:rFonts w:ascii="Calibri" w:hAnsi="Calibri"/>
                              </w:rPr>
                              <w:t xml:space="preserve"> </w:t>
                            </w:r>
                            <w:r>
                              <w:rPr>
                                <w:rFonts w:ascii="Calibri" w:hAnsi="Calibri"/>
                              </w:rPr>
                              <w:t>£60,000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7A3EA5" id="_x0000_s1031" type="#_x0000_t202" style="position:absolute;left:0;text-align:left;margin-left:-3.8pt;margin-top:9.35pt;width:486pt;height:110.55pt;z-index:2516561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">
                <v:textbox style="mso-fit-shape-to-text:t">
                  <w:txbxContent>
                    <w:p w14:paraId="5A5C622C" w14:textId="79D0FCBB"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B</w:t>
                      </w:r>
                    </w:p>
                    <w:p w14:paraId="252F0887" w14:textId="77777777" w:rsidR="006A5868" w:rsidRPr="00F565A7" w:rsidRDefault="006A5868" w:rsidP="00D10877">
                      <w:pPr>
                        <w:spacing w:after="0"/>
                        <w:jc w:val="both"/>
                        <w:rPr>
                          <w:rFonts w:ascii="Calibri" w:hAnsi="Calibri"/>
                        </w:rPr>
                      </w:pPr>
                      <w:r w:rsidRPr="00F565A7">
                        <w:rPr>
                          <w:rFonts w:ascii="Calibri" w:hAnsi="Calibri"/>
                          <w:b/>
                        </w:rPr>
                        <w:t>Number of employees:</w:t>
                      </w:r>
                      <w:r w:rsidRPr="00F565A7">
                        <w:rPr>
                          <w:rFonts w:ascii="Calibri" w:hAnsi="Calibri"/>
                        </w:rPr>
                        <w:t xml:space="preserve"> 250</w:t>
                      </w:r>
                    </w:p>
                    <w:p w14:paraId="1866F504" w14:textId="77777777" w:rsidR="006A5868" w:rsidRDefault="006A5868" w:rsidP="00D10877">
                      <w:pPr>
                        <w:spacing w:after="0"/>
                        <w:jc w:val="both"/>
                        <w:rPr>
                          <w:rFonts w:ascii="Calibri" w:hAnsi="Calibri"/>
                        </w:rPr>
                      </w:pPr>
                      <w:r w:rsidRPr="00F565A7">
                        <w:rPr>
                          <w:rFonts w:ascii="Calibri" w:hAnsi="Calibri"/>
                          <w:b/>
                        </w:rPr>
                        <w:t>Turnover:</w:t>
                      </w:r>
                      <w:r w:rsidRPr="00F565A7">
                        <w:rPr>
                          <w:rFonts w:ascii="Calibri" w:hAnsi="Calibri"/>
                        </w:rPr>
                        <w:t xml:space="preserve"> £60</w:t>
                      </w:r>
                      <w:r>
                        <w:rPr>
                          <w:rFonts w:ascii="Calibri" w:hAnsi="Calibri"/>
                        </w:rPr>
                        <w:t xml:space="preserve"> </w:t>
                      </w:r>
                      <w:r w:rsidRPr="00F565A7">
                        <w:rPr>
                          <w:rFonts w:ascii="Calibri" w:hAnsi="Calibri"/>
                        </w:rPr>
                        <w:t>m</w:t>
                      </w:r>
                      <w:r>
                        <w:rPr>
                          <w:rFonts w:ascii="Calibri" w:hAnsi="Calibri"/>
                        </w:rPr>
                        <w:t>illion</w:t>
                      </w:r>
                    </w:p>
                    <w:p w14:paraId="40D2695A" w14:textId="77777777" w:rsidR="006A5868" w:rsidRPr="00F565A7" w:rsidRDefault="006A5868" w:rsidP="00D10877">
                      <w:pPr>
                        <w:spacing w:after="0"/>
                        <w:jc w:val="both"/>
                        <w:rPr>
                          <w:rFonts w:ascii="Calibri" w:hAnsi="Calibri"/>
                        </w:rPr>
                      </w:pPr>
                    </w:p>
                    <w:p w14:paraId="632085CC" w14:textId="0496CE79" w:rsidR="006A5868" w:rsidRDefault="006A5868" w:rsidP="00D10877">
                      <w:pPr>
                        <w:jc w:val="both"/>
                        <w:rPr>
                          <w:rFonts w:ascii="Calibri" w:hAnsi="Calibri"/>
                        </w:rPr>
                      </w:pPr>
                      <w:r w:rsidRPr="00F565A7">
                        <w:rPr>
                          <w:rFonts w:ascii="Calibri" w:hAnsi="Calibri"/>
                        </w:rPr>
                        <w:t xml:space="preserve">Company </w:t>
                      </w:r>
                      <w:r>
                        <w:rPr>
                          <w:rFonts w:ascii="Calibri" w:hAnsi="Calibri"/>
                        </w:rPr>
                        <w:t>B</w:t>
                      </w:r>
                      <w:r w:rsidRPr="00F565A7">
                        <w:rPr>
                          <w:rFonts w:ascii="Calibri" w:hAnsi="Calibri"/>
                        </w:rPr>
                        <w:t xml:space="preserve"> restructured</w:t>
                      </w:r>
                      <w:r>
                        <w:rPr>
                          <w:rFonts w:ascii="Calibri" w:hAnsi="Calibri"/>
                        </w:rPr>
                        <w:t xml:space="preserve"> as part of a new investment by a third party corporate and, as part of the restructuring, certain key employees and directors also invested significant sums in Company B and purchased shares. Commercially, the relevant individuals were meant to have less than 5% of the voting rights, but the restructuring </w:t>
                      </w:r>
                      <w:r w:rsidRPr="00F565A7">
                        <w:rPr>
                          <w:rFonts w:ascii="Calibri" w:hAnsi="Calibri"/>
                        </w:rPr>
                        <w:t>involved new holding companies so that the individuals could have more than 5% of the voting rights and ordinary share capital in the relevant holding companies and so should qualify for Entrepreneurs' Relief. New shareholders in the future could also be accommodated to qualify for Entrepreneurs' Relief, but further careful planning and negotiation with the other shareholders would be needed.</w:t>
                      </w:r>
                    </w:p>
                    <w:p w14:paraId="71B9D6B9"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management time</w:t>
                      </w:r>
                      <w:r>
                        <w:rPr>
                          <w:rFonts w:ascii="Calibri" w:hAnsi="Calibri"/>
                          <w:b/>
                        </w:rPr>
                        <w:t>:</w:t>
                      </w:r>
                      <w:r>
                        <w:rPr>
                          <w:rFonts w:ascii="Calibri" w:hAnsi="Calibri"/>
                        </w:rPr>
                        <w:t xml:space="preserve"> </w:t>
                      </w:r>
                      <w:r w:rsidRPr="00F565A7">
                        <w:rPr>
                          <w:rFonts w:ascii="Calibri" w:hAnsi="Calibri"/>
                        </w:rPr>
                        <w:t>£30,000</w:t>
                      </w:r>
                    </w:p>
                    <w:p w14:paraId="016F5B77"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advisor fees</w:t>
                      </w:r>
                      <w:r>
                        <w:rPr>
                          <w:rFonts w:ascii="Calibri" w:hAnsi="Calibri"/>
                          <w:b/>
                        </w:rPr>
                        <w:t>:</w:t>
                      </w:r>
                      <w:r w:rsidRPr="00F565A7">
                        <w:rPr>
                          <w:rFonts w:ascii="Calibri" w:hAnsi="Calibri"/>
                        </w:rPr>
                        <w:t xml:space="preserve"> </w:t>
                      </w:r>
                      <w:r>
                        <w:rPr>
                          <w:rFonts w:ascii="Calibri" w:hAnsi="Calibri"/>
                        </w:rPr>
                        <w:t>£60,000</w:t>
                      </w:r>
                    </w:p>
                  </w:txbxContent>
                </v:textbox>
              </v:shape>
            </w:pict>
          </mc:Fallback>
        </mc:AlternateContent>
      </w:r>
      <w:r w:rsidR="005E4C25">
        <w:rPr>
          <w:rFonts w:ascii="Calibri" w:hAnsi="Calibri" w:cs="Calibri"/>
          <w:b/>
          <w:sz w:val="24"/>
        </w:rPr>
        <w:tab/>
      </w:r>
    </w:p>
    <w:p w14:paraId="0FF4794C" w14:textId="77777777" w:rsidR="00D10877" w:rsidRDefault="00D10877" w:rsidP="00D10877">
      <w:pPr>
        <w:jc w:val="both"/>
        <w:rPr>
          <w:rFonts w:ascii="Calibri" w:hAnsi="Calibri"/>
        </w:rPr>
      </w:pPr>
    </w:p>
    <w:p w14:paraId="30DE0DCF" w14:textId="77777777" w:rsidR="00D10877" w:rsidRDefault="00D10877" w:rsidP="00D10877">
      <w:pPr>
        <w:jc w:val="both"/>
        <w:rPr>
          <w:rFonts w:ascii="Calibri" w:hAnsi="Calibri"/>
        </w:rPr>
      </w:pPr>
    </w:p>
    <w:p w14:paraId="51C496B0" w14:textId="77777777" w:rsidR="00D10877" w:rsidRDefault="00D10877" w:rsidP="00D10877">
      <w:pPr>
        <w:jc w:val="both"/>
        <w:rPr>
          <w:rFonts w:ascii="Calibri" w:hAnsi="Calibri"/>
        </w:rPr>
      </w:pPr>
    </w:p>
    <w:p w14:paraId="7DD5CBA1" w14:textId="77777777" w:rsidR="00D10877" w:rsidRDefault="00D10877" w:rsidP="00D10877">
      <w:pPr>
        <w:jc w:val="both"/>
        <w:rPr>
          <w:rFonts w:ascii="Calibri" w:hAnsi="Calibri"/>
        </w:rPr>
      </w:pPr>
    </w:p>
    <w:p w14:paraId="0DF1DCB2" w14:textId="77777777" w:rsidR="00D10877" w:rsidRDefault="00D10877" w:rsidP="00D10877">
      <w:pPr>
        <w:jc w:val="both"/>
        <w:rPr>
          <w:rFonts w:ascii="Calibri" w:hAnsi="Calibri"/>
        </w:rPr>
      </w:pPr>
    </w:p>
    <w:p w14:paraId="12AC6039" w14:textId="77777777" w:rsidR="00D10877" w:rsidRDefault="00D10877" w:rsidP="00D10877">
      <w:pPr>
        <w:jc w:val="both"/>
        <w:rPr>
          <w:rFonts w:ascii="Calibri" w:hAnsi="Calibri"/>
        </w:rPr>
      </w:pPr>
    </w:p>
    <w:p w14:paraId="79F43016" w14:textId="77777777" w:rsidR="00D10877" w:rsidRDefault="00D10877" w:rsidP="00D10877">
      <w:pPr>
        <w:jc w:val="both"/>
        <w:rPr>
          <w:rFonts w:ascii="Calibri" w:hAnsi="Calibri"/>
        </w:rPr>
      </w:pPr>
    </w:p>
    <w:p w14:paraId="27E5C3D7" w14:textId="77777777" w:rsidR="00D10877" w:rsidRDefault="00D10877" w:rsidP="00D10877">
      <w:pPr>
        <w:jc w:val="both"/>
        <w:rPr>
          <w:rFonts w:ascii="Calibri" w:hAnsi="Calibri"/>
        </w:rPr>
      </w:pPr>
    </w:p>
    <w:p w14:paraId="3496CEB8" w14:textId="5A99CAB9" w:rsidR="00D10877" w:rsidRDefault="00D10877" w:rsidP="00D10877">
      <w:pPr>
        <w:jc w:val="both"/>
        <w:rPr>
          <w:rFonts w:ascii="Calibri" w:hAnsi="Calibri"/>
        </w:rPr>
      </w:pPr>
    </w:p>
    <w:p w14:paraId="18854ADA" w14:textId="5902F5F2" w:rsidR="00D10877" w:rsidRDefault="002302B2" w:rsidP="00D10877">
      <w:pPr>
        <w:jc w:val="both"/>
        <w:rPr>
          <w:rFonts w:ascii="Calibri" w:hAnsi="Calibri"/>
        </w:rPr>
      </w:pPr>
      <w:r w:rsidRPr="00F565A7">
        <w:rPr>
          <w:rFonts w:ascii="Calibri" w:hAnsi="Calibri"/>
          <w:noProof/>
          <w:lang w:eastAsia="en-GB"/>
        </w:rPr>
        <mc:AlternateContent>
          <mc:Choice Requires="wps">
            <w:drawing>
              <wp:anchor distT="0" distB="0" distL="114300" distR="114300" simplePos="0" relativeHeight="251657216" behindDoc="0" locked="0" layoutInCell="1" allowOverlap="1" wp14:anchorId="287ADE4C" wp14:editId="159FEB42">
                <wp:simplePos x="0" y="0"/>
                <wp:positionH relativeFrom="column">
                  <wp:posOffset>-45720</wp:posOffset>
                </wp:positionH>
                <wp:positionV relativeFrom="paragraph">
                  <wp:posOffset>136335</wp:posOffset>
                </wp:positionV>
                <wp:extent cx="6172200" cy="1403985"/>
                <wp:effectExtent l="0" t="0" r="19050" b="165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394649D7" w14:textId="6A2ACEF3"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C</w:t>
                            </w:r>
                          </w:p>
                          <w:p w14:paraId="588B9C4D" w14:textId="77777777" w:rsidR="006A5868" w:rsidRPr="00F565A7" w:rsidRDefault="006A5868" w:rsidP="00D10877">
                            <w:pPr>
                              <w:spacing w:after="0"/>
                              <w:jc w:val="both"/>
                              <w:rPr>
                                <w:rFonts w:ascii="Calibri" w:hAnsi="Calibri"/>
                              </w:rPr>
                            </w:pPr>
                            <w:r w:rsidRPr="00F565A7">
                              <w:rPr>
                                <w:rFonts w:ascii="Calibri" w:hAnsi="Calibri"/>
                                <w:b/>
                              </w:rPr>
                              <w:t>Number of Employees</w:t>
                            </w:r>
                            <w:r>
                              <w:rPr>
                                <w:rFonts w:ascii="Calibri" w:hAnsi="Calibri"/>
                                <w:b/>
                              </w:rPr>
                              <w:t>:</w:t>
                            </w:r>
                            <w:r w:rsidRPr="00F565A7">
                              <w:rPr>
                                <w:rFonts w:ascii="Calibri" w:hAnsi="Calibri"/>
                              </w:rPr>
                              <w:t xml:space="preserve"> 20</w:t>
                            </w:r>
                          </w:p>
                          <w:p w14:paraId="7EF81A60" w14:textId="77777777" w:rsidR="006A5868" w:rsidRDefault="006A5868" w:rsidP="00D10877">
                            <w:pPr>
                              <w:spacing w:after="0"/>
                              <w:jc w:val="both"/>
                              <w:rPr>
                                <w:rFonts w:ascii="Calibri" w:hAnsi="Calibri"/>
                              </w:rPr>
                            </w:pPr>
                            <w:r w:rsidRPr="00F565A7">
                              <w:rPr>
                                <w:rFonts w:ascii="Calibri" w:hAnsi="Calibri"/>
                                <w:b/>
                              </w:rPr>
                              <w:t>Turnover</w:t>
                            </w:r>
                            <w:r>
                              <w:rPr>
                                <w:rFonts w:ascii="Calibri" w:hAnsi="Calibri"/>
                                <w:b/>
                              </w:rPr>
                              <w:t>:</w:t>
                            </w:r>
                            <w:r w:rsidRPr="00F565A7">
                              <w:rPr>
                                <w:rFonts w:ascii="Calibri" w:hAnsi="Calibri"/>
                              </w:rPr>
                              <w:t xml:space="preserve"> £6</w:t>
                            </w:r>
                            <w:r>
                              <w:rPr>
                                <w:rFonts w:ascii="Calibri" w:hAnsi="Calibri"/>
                              </w:rPr>
                              <w:t xml:space="preserve"> </w:t>
                            </w:r>
                            <w:r w:rsidRPr="00F565A7">
                              <w:rPr>
                                <w:rFonts w:ascii="Calibri" w:hAnsi="Calibri"/>
                              </w:rPr>
                              <w:t>m</w:t>
                            </w:r>
                            <w:r>
                              <w:rPr>
                                <w:rFonts w:ascii="Calibri" w:hAnsi="Calibri"/>
                              </w:rPr>
                              <w:t>illion</w:t>
                            </w:r>
                          </w:p>
                          <w:p w14:paraId="0F18BE01" w14:textId="77777777" w:rsidR="006A5868" w:rsidRPr="00F565A7" w:rsidRDefault="006A5868" w:rsidP="00D10877">
                            <w:pPr>
                              <w:spacing w:after="0"/>
                              <w:jc w:val="both"/>
                              <w:rPr>
                                <w:rFonts w:ascii="Calibri" w:hAnsi="Calibri"/>
                              </w:rPr>
                            </w:pPr>
                          </w:p>
                          <w:p w14:paraId="433DD9D8" w14:textId="07524295"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C</w:t>
                            </w:r>
                            <w:r w:rsidRPr="00F565A7">
                              <w:rPr>
                                <w:rFonts w:ascii="Calibri" w:hAnsi="Calibri"/>
                              </w:rPr>
                              <w:t xml:space="preserve"> had its advisors restructure a transaction to ensure that the relevant individuals had 5% of the voting rights. Commercially they were only meant to have 4.23% of the voting rights. Therefore, the shares that were issued did not have straightforward rights and the deal was made much more complex by this issue. Furthermore, soon after this transaction, an incoming new Chairman wished to also be included within the planning. This aim (to qualify for Entrepreneurs’ Relief) was felt to be uncommercial by existing management and created tension within the management team.</w:t>
                            </w:r>
                          </w:p>
                          <w:p w14:paraId="36DB1720"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management time</w:t>
                            </w:r>
                            <w:r>
                              <w:rPr>
                                <w:rFonts w:ascii="Calibri" w:hAnsi="Calibri"/>
                                <w:b/>
                              </w:rPr>
                              <w:t>:</w:t>
                            </w:r>
                            <w:r w:rsidRPr="00F565A7">
                              <w:rPr>
                                <w:rFonts w:ascii="Calibri" w:hAnsi="Calibri"/>
                              </w:rPr>
                              <w:t xml:space="preserve"> £20,000</w:t>
                            </w:r>
                          </w:p>
                          <w:p w14:paraId="0E12F06F"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advisor fees</w:t>
                            </w:r>
                            <w:r>
                              <w:rPr>
                                <w:rFonts w:ascii="Calibri" w:hAnsi="Calibri"/>
                                <w:b/>
                              </w:rPr>
                              <w:t>:</w:t>
                            </w:r>
                            <w:r w:rsidRPr="00F565A7">
                              <w:rPr>
                                <w:rFonts w:ascii="Calibri" w:hAnsi="Calibri"/>
                              </w:rPr>
                              <w:t xml:space="preserve">  £25,000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7ADE4C" id="_x0000_s1032" type="#_x0000_t202" style="position:absolute;left:0;text-align:left;margin-left:-3.6pt;margin-top:10.75pt;width:486pt;height:110.5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">
                <v:textbox style="mso-fit-shape-to-text:t">
                  <w:txbxContent>
                    <w:p w14:paraId="394649D7" w14:textId="6A2ACEF3"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C</w:t>
                      </w:r>
                    </w:p>
                    <w:p w14:paraId="588B9C4D" w14:textId="77777777" w:rsidR="006A5868" w:rsidRPr="00F565A7" w:rsidRDefault="006A5868" w:rsidP="00D10877">
                      <w:pPr>
                        <w:spacing w:after="0"/>
                        <w:jc w:val="both"/>
                        <w:rPr>
                          <w:rFonts w:ascii="Calibri" w:hAnsi="Calibri"/>
                        </w:rPr>
                      </w:pPr>
                      <w:r w:rsidRPr="00F565A7">
                        <w:rPr>
                          <w:rFonts w:ascii="Calibri" w:hAnsi="Calibri"/>
                          <w:b/>
                        </w:rPr>
                        <w:t>Number of Employees</w:t>
                      </w:r>
                      <w:r>
                        <w:rPr>
                          <w:rFonts w:ascii="Calibri" w:hAnsi="Calibri"/>
                          <w:b/>
                        </w:rPr>
                        <w:t>:</w:t>
                      </w:r>
                      <w:r w:rsidRPr="00F565A7">
                        <w:rPr>
                          <w:rFonts w:ascii="Calibri" w:hAnsi="Calibri"/>
                        </w:rPr>
                        <w:t xml:space="preserve"> 20</w:t>
                      </w:r>
                    </w:p>
                    <w:p w14:paraId="7EF81A60" w14:textId="77777777" w:rsidR="006A5868" w:rsidRDefault="006A5868" w:rsidP="00D10877">
                      <w:pPr>
                        <w:spacing w:after="0"/>
                        <w:jc w:val="both"/>
                        <w:rPr>
                          <w:rFonts w:ascii="Calibri" w:hAnsi="Calibri"/>
                        </w:rPr>
                      </w:pPr>
                      <w:r w:rsidRPr="00F565A7">
                        <w:rPr>
                          <w:rFonts w:ascii="Calibri" w:hAnsi="Calibri"/>
                          <w:b/>
                        </w:rPr>
                        <w:t>Turnover</w:t>
                      </w:r>
                      <w:r>
                        <w:rPr>
                          <w:rFonts w:ascii="Calibri" w:hAnsi="Calibri"/>
                          <w:b/>
                        </w:rPr>
                        <w:t>:</w:t>
                      </w:r>
                      <w:r w:rsidRPr="00F565A7">
                        <w:rPr>
                          <w:rFonts w:ascii="Calibri" w:hAnsi="Calibri"/>
                        </w:rPr>
                        <w:t xml:space="preserve"> £6</w:t>
                      </w:r>
                      <w:r>
                        <w:rPr>
                          <w:rFonts w:ascii="Calibri" w:hAnsi="Calibri"/>
                        </w:rPr>
                        <w:t xml:space="preserve"> </w:t>
                      </w:r>
                      <w:r w:rsidRPr="00F565A7">
                        <w:rPr>
                          <w:rFonts w:ascii="Calibri" w:hAnsi="Calibri"/>
                        </w:rPr>
                        <w:t>m</w:t>
                      </w:r>
                      <w:r>
                        <w:rPr>
                          <w:rFonts w:ascii="Calibri" w:hAnsi="Calibri"/>
                        </w:rPr>
                        <w:t>illion</w:t>
                      </w:r>
                    </w:p>
                    <w:p w14:paraId="0F18BE01" w14:textId="77777777" w:rsidR="006A5868" w:rsidRPr="00F565A7" w:rsidRDefault="006A5868" w:rsidP="00D10877">
                      <w:pPr>
                        <w:spacing w:after="0"/>
                        <w:jc w:val="both"/>
                        <w:rPr>
                          <w:rFonts w:ascii="Calibri" w:hAnsi="Calibri"/>
                        </w:rPr>
                      </w:pPr>
                    </w:p>
                    <w:p w14:paraId="433DD9D8" w14:textId="07524295"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C</w:t>
                      </w:r>
                      <w:r w:rsidRPr="00F565A7">
                        <w:rPr>
                          <w:rFonts w:ascii="Calibri" w:hAnsi="Calibri"/>
                        </w:rPr>
                        <w:t xml:space="preserve"> had its advisors restructure a transaction to ensure that the relevant individuals had 5% of the voting rights. Commercially they were only meant to have 4.23% of the voting rights. Therefore, the shares that were issued did not have straightforward rights and the deal was made much more complex by this issue. Furthermore, soon after this transaction, an incoming new Chairman wished to also be included within the planning. This aim (to qualify for Entrepreneurs’ Relief) was felt to be uncommercial by existing management and created tension within the management team.</w:t>
                      </w:r>
                    </w:p>
                    <w:p w14:paraId="36DB1720"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management time</w:t>
                      </w:r>
                      <w:r>
                        <w:rPr>
                          <w:rFonts w:ascii="Calibri" w:hAnsi="Calibri"/>
                          <w:b/>
                        </w:rPr>
                        <w:t>:</w:t>
                      </w:r>
                      <w:r w:rsidRPr="00F565A7">
                        <w:rPr>
                          <w:rFonts w:ascii="Calibri" w:hAnsi="Calibri"/>
                        </w:rPr>
                        <w:t xml:space="preserve"> £20,000</w:t>
                      </w:r>
                    </w:p>
                    <w:p w14:paraId="0E12F06F"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advisor fees</w:t>
                      </w:r>
                      <w:r>
                        <w:rPr>
                          <w:rFonts w:ascii="Calibri" w:hAnsi="Calibri"/>
                          <w:b/>
                        </w:rPr>
                        <w:t>:</w:t>
                      </w:r>
                      <w:r w:rsidRPr="00F565A7">
                        <w:rPr>
                          <w:rFonts w:ascii="Calibri" w:hAnsi="Calibri"/>
                        </w:rPr>
                        <w:t xml:space="preserve">  £25,000</w:t>
                      </w:r>
                    </w:p>
                  </w:txbxContent>
                </v:textbox>
              </v:shape>
            </w:pict>
          </mc:Fallback>
        </mc:AlternateContent>
      </w:r>
    </w:p>
    <w:p w14:paraId="4C955726" w14:textId="77777777" w:rsidR="00D10877" w:rsidRDefault="00D10877" w:rsidP="00D10877">
      <w:pPr>
        <w:jc w:val="both"/>
        <w:rPr>
          <w:rFonts w:ascii="Calibri" w:hAnsi="Calibri"/>
        </w:rPr>
      </w:pPr>
    </w:p>
    <w:p w14:paraId="183D315C" w14:textId="77777777" w:rsidR="00D10877" w:rsidRDefault="00D10877" w:rsidP="00D10877">
      <w:pPr>
        <w:jc w:val="both"/>
        <w:rPr>
          <w:rFonts w:ascii="Calibri" w:hAnsi="Calibri"/>
        </w:rPr>
      </w:pPr>
    </w:p>
    <w:p w14:paraId="7E9B671E" w14:textId="77777777" w:rsidR="00D10877" w:rsidRDefault="00D10877" w:rsidP="00D10877">
      <w:pPr>
        <w:jc w:val="both"/>
        <w:rPr>
          <w:rFonts w:ascii="Calibri" w:hAnsi="Calibri"/>
        </w:rPr>
      </w:pPr>
    </w:p>
    <w:p w14:paraId="2ACFDBCB" w14:textId="77777777" w:rsidR="00D10877" w:rsidRDefault="00D10877" w:rsidP="00D10877">
      <w:pPr>
        <w:jc w:val="both"/>
        <w:rPr>
          <w:rFonts w:ascii="Calibri" w:hAnsi="Calibri"/>
        </w:rPr>
      </w:pPr>
    </w:p>
    <w:p w14:paraId="032FB1D3" w14:textId="77777777" w:rsidR="00D10877" w:rsidRDefault="00D10877" w:rsidP="00D10877">
      <w:pPr>
        <w:jc w:val="both"/>
        <w:rPr>
          <w:rFonts w:ascii="Calibri" w:hAnsi="Calibri"/>
        </w:rPr>
      </w:pPr>
    </w:p>
    <w:p w14:paraId="57C58C2C" w14:textId="77777777" w:rsidR="00D10877" w:rsidRDefault="00D10877" w:rsidP="00D10877">
      <w:pPr>
        <w:jc w:val="both"/>
        <w:rPr>
          <w:rFonts w:ascii="Calibri" w:hAnsi="Calibri"/>
        </w:rPr>
      </w:pPr>
    </w:p>
    <w:p w14:paraId="509F4762" w14:textId="77777777" w:rsidR="00D10877" w:rsidRDefault="00D10877" w:rsidP="00D10877">
      <w:pPr>
        <w:jc w:val="both"/>
        <w:rPr>
          <w:rFonts w:ascii="Calibri" w:hAnsi="Calibri"/>
        </w:rPr>
      </w:pPr>
    </w:p>
    <w:p w14:paraId="09824B74" w14:textId="77777777" w:rsidR="00D10877" w:rsidRDefault="00D10877" w:rsidP="00D10877">
      <w:pPr>
        <w:jc w:val="both"/>
        <w:rPr>
          <w:rFonts w:ascii="Calibri" w:hAnsi="Calibri"/>
        </w:rPr>
      </w:pPr>
    </w:p>
    <w:p w14:paraId="6695543D" w14:textId="31DB8631" w:rsidR="00D10877" w:rsidRDefault="00D10877" w:rsidP="00D10877">
      <w:pPr>
        <w:jc w:val="both"/>
        <w:rPr>
          <w:rFonts w:ascii="Calibri" w:hAnsi="Calibri"/>
        </w:rPr>
      </w:pPr>
    </w:p>
    <w:p w14:paraId="09CDA3B8" w14:textId="03380C01" w:rsidR="00D10877" w:rsidRDefault="00D10877" w:rsidP="00D10877">
      <w:pPr>
        <w:jc w:val="both"/>
        <w:rPr>
          <w:rFonts w:ascii="Calibri" w:hAnsi="Calibri"/>
        </w:rPr>
      </w:pPr>
    </w:p>
    <w:p w14:paraId="310E917A" w14:textId="2D3DAE91" w:rsidR="00D10877" w:rsidRDefault="00D10877" w:rsidP="00D10877">
      <w:pPr>
        <w:jc w:val="both"/>
        <w:rPr>
          <w:rFonts w:ascii="Calibri" w:hAnsi="Calibri"/>
        </w:rPr>
      </w:pPr>
    </w:p>
    <w:p w14:paraId="16EFC1AD" w14:textId="285C92FF" w:rsidR="00D10877" w:rsidRDefault="00D10877" w:rsidP="00D10877">
      <w:pPr>
        <w:jc w:val="both"/>
        <w:rPr>
          <w:rFonts w:ascii="Calibri" w:hAnsi="Calibri"/>
        </w:rPr>
      </w:pPr>
    </w:p>
    <w:p w14:paraId="06E5C0D9" w14:textId="63F7EE35" w:rsidR="00D10877" w:rsidRDefault="00D10877" w:rsidP="00D10877">
      <w:pPr>
        <w:jc w:val="both"/>
        <w:rPr>
          <w:rFonts w:ascii="Calibri" w:hAnsi="Calibri"/>
        </w:rPr>
      </w:pPr>
    </w:p>
    <w:p w14:paraId="372404BF" w14:textId="77777777" w:rsidR="00D10877" w:rsidRDefault="00D10877" w:rsidP="00D10877">
      <w:pPr>
        <w:jc w:val="both"/>
        <w:rPr>
          <w:rFonts w:ascii="Calibri" w:hAnsi="Calibri"/>
        </w:rPr>
      </w:pPr>
    </w:p>
    <w:p w14:paraId="7BD6EAE6" w14:textId="2325D8E1" w:rsidR="00D10877" w:rsidRDefault="00D10877" w:rsidP="00D10877">
      <w:pPr>
        <w:jc w:val="both"/>
        <w:rPr>
          <w:rFonts w:ascii="Calibri" w:hAnsi="Calibri"/>
        </w:rPr>
      </w:pPr>
    </w:p>
    <w:p w14:paraId="7EFE7FBF" w14:textId="384699F0" w:rsidR="00D10877" w:rsidRDefault="00D10877" w:rsidP="00D10877">
      <w:pPr>
        <w:jc w:val="both"/>
        <w:rPr>
          <w:rFonts w:ascii="Calibri" w:hAnsi="Calibri"/>
        </w:rPr>
      </w:pPr>
    </w:p>
    <w:p w14:paraId="0477CEE2" w14:textId="0786BE5A" w:rsidR="00D10877" w:rsidRDefault="00A95CE7" w:rsidP="00D10877">
      <w:pPr>
        <w:jc w:val="both"/>
        <w:rPr>
          <w:rFonts w:ascii="Calibri" w:hAnsi="Calibri"/>
        </w:rPr>
      </w:pPr>
      <w:r w:rsidRPr="00F565A7">
        <w:rPr>
          <w:rFonts w:ascii="Calibri" w:hAnsi="Calibri"/>
          <w:noProof/>
          <w:lang w:eastAsia="en-GB"/>
        </w:rPr>
        <w:lastRenderedPageBreak/>
        <mc:AlternateContent>
          <mc:Choice Requires="wps">
            <w:drawing>
              <wp:anchor distT="0" distB="0" distL="114300" distR="114300" simplePos="0" relativeHeight="251661312" behindDoc="0" locked="0" layoutInCell="1" allowOverlap="1" wp14:anchorId="47C0DE7E" wp14:editId="33110A76">
                <wp:simplePos x="0" y="0"/>
                <wp:positionH relativeFrom="column">
                  <wp:posOffset>0</wp:posOffset>
                </wp:positionH>
                <wp:positionV relativeFrom="paragraph">
                  <wp:posOffset>2716975</wp:posOffset>
                </wp:positionV>
                <wp:extent cx="6172200" cy="1403985"/>
                <wp:effectExtent l="0" t="0" r="19050" b="177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60A62ED8" w14:textId="15E95D13"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E</w:t>
                            </w:r>
                          </w:p>
                          <w:p w14:paraId="625FFDE4" w14:textId="12405B8B" w:rsidR="006A5868" w:rsidRPr="00F565A7" w:rsidRDefault="006A5868" w:rsidP="00D10877">
                            <w:pPr>
                              <w:jc w:val="both"/>
                              <w:rPr>
                                <w:rFonts w:ascii="Calibri" w:hAnsi="Calibri"/>
                              </w:rPr>
                            </w:pPr>
                            <w:r w:rsidRPr="00F565A7">
                              <w:rPr>
                                <w:rFonts w:ascii="Calibri" w:hAnsi="Calibri"/>
                              </w:rPr>
                              <w:t xml:space="preserve">At exit, the CEO of Company </w:t>
                            </w:r>
                            <w:r>
                              <w:rPr>
                                <w:rFonts w:ascii="Calibri" w:hAnsi="Calibri"/>
                              </w:rPr>
                              <w:t>E</w:t>
                            </w:r>
                            <w:r w:rsidRPr="00F565A7">
                              <w:rPr>
                                <w:rFonts w:ascii="Calibri" w:hAnsi="Calibri"/>
                              </w:rPr>
                              <w:t xml:space="preserve"> had share options but did not have the required 5% of fully paid up shares. Upon a successful exit, Company </w:t>
                            </w:r>
                            <w:r>
                              <w:rPr>
                                <w:rFonts w:ascii="Calibri" w:hAnsi="Calibri"/>
                              </w:rPr>
                              <w:t>E</w:t>
                            </w:r>
                            <w:r w:rsidRPr="00F565A7">
                              <w:rPr>
                                <w:rFonts w:ascii="Calibri" w:hAnsi="Calibri"/>
                              </w:rPr>
                              <w:t>’s start-up CEO was penalised at a tax rate more than twice the 10% tax rate applied to the company founders, despite being involved very early on and having worked full-time with the company for nine years.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C0DE7E" id="Text Box 9" o:spid="_x0000_s1033" type="#_x0000_t202" style="position:absolute;left:0;text-align:left;margin-left:0;margin-top:213.95pt;width:486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">
                <v:textbox style="mso-fit-shape-to-text:t">
                  <w:txbxContent>
                    <w:p w14:paraId="60A62ED8" w14:textId="15E95D13"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E</w:t>
                      </w:r>
                    </w:p>
                    <w:p w14:paraId="625FFDE4" w14:textId="12405B8B" w:rsidR="006A5868" w:rsidRPr="00F565A7" w:rsidRDefault="006A5868" w:rsidP="00D10877">
                      <w:pPr>
                        <w:jc w:val="both"/>
                        <w:rPr>
                          <w:rFonts w:ascii="Calibri" w:hAnsi="Calibri"/>
                        </w:rPr>
                      </w:pPr>
                      <w:r w:rsidRPr="00F565A7">
                        <w:rPr>
                          <w:rFonts w:ascii="Calibri" w:hAnsi="Calibri"/>
                        </w:rPr>
                        <w:t xml:space="preserve">At exit, the CEO of Company </w:t>
                      </w:r>
                      <w:r>
                        <w:rPr>
                          <w:rFonts w:ascii="Calibri" w:hAnsi="Calibri"/>
                        </w:rPr>
                        <w:t>E</w:t>
                      </w:r>
                      <w:r w:rsidRPr="00F565A7">
                        <w:rPr>
                          <w:rFonts w:ascii="Calibri" w:hAnsi="Calibri"/>
                        </w:rPr>
                        <w:t xml:space="preserve"> had share options but did not have the required 5% of fully paid up shares. Upon a successful exit, Company </w:t>
                      </w:r>
                      <w:r>
                        <w:rPr>
                          <w:rFonts w:ascii="Calibri" w:hAnsi="Calibri"/>
                        </w:rPr>
                        <w:t>E</w:t>
                      </w:r>
                      <w:r w:rsidRPr="00F565A7">
                        <w:rPr>
                          <w:rFonts w:ascii="Calibri" w:hAnsi="Calibri"/>
                        </w:rPr>
                        <w:t>’s start-up CEO was penalised at a tax rate more than twice the 10% tax rate applied to the company founders, despite being involved very early on and having worked full-time with the company for nine years.</w:t>
                      </w:r>
                    </w:p>
                  </w:txbxContent>
                </v:textbox>
              </v:shape>
            </w:pict>
          </mc:Fallback>
        </mc:AlternateContent>
      </w:r>
      <w:r w:rsidR="00CD486B" w:rsidRPr="00F565A7">
        <w:rPr>
          <w:rFonts w:ascii="Calibri" w:hAnsi="Calibri"/>
          <w:noProof/>
          <w:lang w:eastAsia="en-GB"/>
        </w:rPr>
        <mc:AlternateContent>
          <mc:Choice Requires="wps">
            <w:drawing>
              <wp:inline distT="0" distB="0" distL="0" distR="0" wp14:anchorId="4D2402D6" wp14:editId="60B01C27">
                <wp:extent cx="6172200" cy="1403985"/>
                <wp:effectExtent l="0" t="0" r="19050" b="21590"/>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670440B4" w14:textId="221AB00D"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D</w:t>
                            </w:r>
                          </w:p>
                          <w:p w14:paraId="29332A89" w14:textId="77777777" w:rsidR="006A5868" w:rsidRPr="00F565A7" w:rsidRDefault="006A5868" w:rsidP="00D10877">
                            <w:pPr>
                              <w:spacing w:after="0"/>
                              <w:jc w:val="both"/>
                              <w:rPr>
                                <w:rFonts w:ascii="Calibri" w:hAnsi="Calibri"/>
                              </w:rPr>
                            </w:pPr>
                            <w:r w:rsidRPr="00F565A7">
                              <w:rPr>
                                <w:rFonts w:ascii="Calibri" w:hAnsi="Calibri"/>
                                <w:b/>
                              </w:rPr>
                              <w:t>Number of Employees:</w:t>
                            </w:r>
                            <w:r w:rsidRPr="00F565A7">
                              <w:rPr>
                                <w:rFonts w:ascii="Calibri" w:hAnsi="Calibri"/>
                              </w:rPr>
                              <w:t xml:space="preserve"> 200</w:t>
                            </w:r>
                          </w:p>
                          <w:p w14:paraId="2AF387E3" w14:textId="77777777" w:rsidR="006A5868" w:rsidRPr="00F565A7" w:rsidRDefault="006A5868" w:rsidP="00D10877">
                            <w:pPr>
                              <w:spacing w:after="0"/>
                              <w:jc w:val="both"/>
                              <w:rPr>
                                <w:rFonts w:ascii="Calibri" w:hAnsi="Calibri"/>
                              </w:rPr>
                            </w:pPr>
                            <w:r w:rsidRPr="00F565A7">
                              <w:rPr>
                                <w:rFonts w:ascii="Calibri" w:hAnsi="Calibri"/>
                                <w:b/>
                              </w:rPr>
                              <w:t>Turnover:</w:t>
                            </w:r>
                            <w:r w:rsidRPr="00F565A7">
                              <w:rPr>
                                <w:rFonts w:ascii="Calibri" w:hAnsi="Calibri"/>
                              </w:rPr>
                              <w:t xml:space="preserve"> £40</w:t>
                            </w:r>
                            <w:r>
                              <w:rPr>
                                <w:rFonts w:ascii="Calibri" w:hAnsi="Calibri"/>
                              </w:rPr>
                              <w:t xml:space="preserve"> </w:t>
                            </w:r>
                            <w:r w:rsidRPr="00F565A7">
                              <w:rPr>
                                <w:rFonts w:ascii="Calibri" w:hAnsi="Calibri"/>
                              </w:rPr>
                              <w:t>m</w:t>
                            </w:r>
                            <w:r>
                              <w:rPr>
                                <w:rFonts w:ascii="Calibri" w:hAnsi="Calibri"/>
                              </w:rPr>
                              <w:t>illion</w:t>
                            </w:r>
                          </w:p>
                          <w:p w14:paraId="5BB0D931" w14:textId="77777777" w:rsidR="006A5868" w:rsidRDefault="006A5868" w:rsidP="00D10877">
                            <w:pPr>
                              <w:spacing w:after="0"/>
                              <w:jc w:val="both"/>
                              <w:rPr>
                                <w:rFonts w:ascii="Calibri" w:hAnsi="Calibri"/>
                              </w:rPr>
                            </w:pPr>
                            <w:r w:rsidRPr="00F565A7">
                              <w:rPr>
                                <w:rFonts w:ascii="Calibri" w:hAnsi="Calibri"/>
                                <w:b/>
                              </w:rPr>
                              <w:t>Market Cap:</w:t>
                            </w:r>
                            <w:r w:rsidRPr="00F565A7">
                              <w:rPr>
                                <w:rFonts w:ascii="Calibri" w:hAnsi="Calibri"/>
                              </w:rPr>
                              <w:t xml:space="preserve"> £25</w:t>
                            </w:r>
                            <w:r>
                              <w:rPr>
                                <w:rFonts w:ascii="Calibri" w:hAnsi="Calibri"/>
                              </w:rPr>
                              <w:t xml:space="preserve"> </w:t>
                            </w:r>
                            <w:r w:rsidRPr="00F565A7">
                              <w:rPr>
                                <w:rFonts w:ascii="Calibri" w:hAnsi="Calibri"/>
                              </w:rPr>
                              <w:t>m</w:t>
                            </w:r>
                            <w:r>
                              <w:rPr>
                                <w:rFonts w:ascii="Calibri" w:hAnsi="Calibri"/>
                              </w:rPr>
                              <w:t>illion</w:t>
                            </w:r>
                          </w:p>
                          <w:p w14:paraId="2A8922D1" w14:textId="77777777" w:rsidR="006A5868" w:rsidRPr="00F565A7" w:rsidRDefault="006A5868" w:rsidP="00D10877">
                            <w:pPr>
                              <w:spacing w:after="0"/>
                              <w:jc w:val="both"/>
                              <w:rPr>
                                <w:rFonts w:ascii="Calibri" w:hAnsi="Calibri"/>
                              </w:rPr>
                            </w:pPr>
                          </w:p>
                          <w:p w14:paraId="6A09629F" w14:textId="2DC96454"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D</w:t>
                            </w:r>
                            <w:r w:rsidRPr="00F565A7">
                              <w:rPr>
                                <w:rFonts w:ascii="Calibri" w:hAnsi="Calibri"/>
                              </w:rPr>
                              <w:t xml:space="preserve"> had inadvertently broken the personal company test for a short period, while in the process of a share reorganisation. It was due to a technicality in the “ordinary” share capital requirement. </w:t>
                            </w:r>
                          </w:p>
                          <w:p w14:paraId="05195E88" w14:textId="77777777" w:rsidR="006A5868" w:rsidRPr="00F565A7" w:rsidRDefault="006A5868" w:rsidP="00D10877">
                            <w:pPr>
                              <w:jc w:val="both"/>
                              <w:rPr>
                                <w:rFonts w:ascii="Calibri" w:hAnsi="Calibri"/>
                              </w:rPr>
                            </w:pPr>
                            <w:r w:rsidRPr="00F565A7">
                              <w:rPr>
                                <w:rFonts w:ascii="Calibri" w:hAnsi="Calibri"/>
                              </w:rPr>
                              <w:t>Estimated extra cost to company in management time - uncertain over the management cost, however it cost the shareholder £1.8</w:t>
                            </w:r>
                            <w:r>
                              <w:rPr>
                                <w:rFonts w:ascii="Calibri" w:hAnsi="Calibri"/>
                              </w:rPr>
                              <w:t xml:space="preserve"> </w:t>
                            </w:r>
                            <w:r w:rsidRPr="00F565A7">
                              <w:rPr>
                                <w:rFonts w:ascii="Calibri" w:hAnsi="Calibri"/>
                              </w:rPr>
                              <w:t>m</w:t>
                            </w:r>
                            <w:r>
                              <w:rPr>
                                <w:rFonts w:ascii="Calibri" w:hAnsi="Calibri"/>
                              </w:rPr>
                              <w:t>illion</w:t>
                            </w:r>
                            <w:r w:rsidRPr="00F565A7">
                              <w:rPr>
                                <w:rFonts w:ascii="Calibri" w:hAnsi="Calibri"/>
                              </w:rPr>
                              <w:t xml:space="preserve"> in lost Entrepreneurs’ Relief over the 12 months</w:t>
                            </w:r>
                          </w:p>
                          <w:p w14:paraId="394C490B" w14:textId="77777777" w:rsidR="006A5868" w:rsidRPr="00F565A7" w:rsidRDefault="006A5868" w:rsidP="00D10877">
                            <w:pPr>
                              <w:jc w:val="both"/>
                              <w:rPr>
                                <w:rFonts w:ascii="Calibri" w:hAnsi="Calibri"/>
                              </w:rPr>
                            </w:pPr>
                            <w:r w:rsidRPr="00F565A7">
                              <w:rPr>
                                <w:rFonts w:ascii="Calibri" w:hAnsi="Calibri"/>
                                <w:b/>
                              </w:rPr>
                              <w:t>Extra cost to company in advisor fees:</w:t>
                            </w:r>
                            <w:r w:rsidRPr="00F565A7">
                              <w:rPr>
                                <w:rFonts w:ascii="Calibri" w:hAnsi="Calibri"/>
                              </w:rPr>
                              <w:t xml:space="preserve"> £10,000 </w:t>
                            </w:r>
                          </w:p>
                        </w:txbxContent>
                      </wps:txbx>
                      <wps:bodyPr rot="0" vert="horz" wrap="square" lIns="91440" tIns="45720" rIns="91440" bIns="45720" anchor="t" anchorCtr="0">
                        <a:spAutoFit/>
                      </wps:bodyPr>
                    </wps:wsp>
                  </a:graphicData>
                </a:graphic>
              </wp:inline>
            </w:drawing>
          </mc:Choice>
          <mc:Fallback>
            <w:pict>
              <v:shape w14:anchorId="4D2402D6" id="Text Box 3" o:spid="_x0000_s1034" type="#_x0000_t202" style="width:486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">
                <v:textbox style="mso-fit-shape-to-text:t">
                  <w:txbxContent>
                    <w:p w14:paraId="670440B4" w14:textId="221AB00D"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D</w:t>
                      </w:r>
                    </w:p>
                    <w:p w14:paraId="29332A89" w14:textId="77777777" w:rsidR="006A5868" w:rsidRPr="00F565A7" w:rsidRDefault="006A5868" w:rsidP="00D10877">
                      <w:pPr>
                        <w:spacing w:after="0"/>
                        <w:jc w:val="both"/>
                        <w:rPr>
                          <w:rFonts w:ascii="Calibri" w:hAnsi="Calibri"/>
                        </w:rPr>
                      </w:pPr>
                      <w:r w:rsidRPr="00F565A7">
                        <w:rPr>
                          <w:rFonts w:ascii="Calibri" w:hAnsi="Calibri"/>
                          <w:b/>
                        </w:rPr>
                        <w:t>Number of Employees:</w:t>
                      </w:r>
                      <w:r w:rsidRPr="00F565A7">
                        <w:rPr>
                          <w:rFonts w:ascii="Calibri" w:hAnsi="Calibri"/>
                        </w:rPr>
                        <w:t xml:space="preserve"> 200</w:t>
                      </w:r>
                    </w:p>
                    <w:p w14:paraId="2AF387E3" w14:textId="77777777" w:rsidR="006A5868" w:rsidRPr="00F565A7" w:rsidRDefault="006A5868" w:rsidP="00D10877">
                      <w:pPr>
                        <w:spacing w:after="0"/>
                        <w:jc w:val="both"/>
                        <w:rPr>
                          <w:rFonts w:ascii="Calibri" w:hAnsi="Calibri"/>
                        </w:rPr>
                      </w:pPr>
                      <w:r w:rsidRPr="00F565A7">
                        <w:rPr>
                          <w:rFonts w:ascii="Calibri" w:hAnsi="Calibri"/>
                          <w:b/>
                        </w:rPr>
                        <w:t>Turnover:</w:t>
                      </w:r>
                      <w:r w:rsidRPr="00F565A7">
                        <w:rPr>
                          <w:rFonts w:ascii="Calibri" w:hAnsi="Calibri"/>
                        </w:rPr>
                        <w:t xml:space="preserve"> £40</w:t>
                      </w:r>
                      <w:r>
                        <w:rPr>
                          <w:rFonts w:ascii="Calibri" w:hAnsi="Calibri"/>
                        </w:rPr>
                        <w:t xml:space="preserve"> </w:t>
                      </w:r>
                      <w:r w:rsidRPr="00F565A7">
                        <w:rPr>
                          <w:rFonts w:ascii="Calibri" w:hAnsi="Calibri"/>
                        </w:rPr>
                        <w:t>m</w:t>
                      </w:r>
                      <w:r>
                        <w:rPr>
                          <w:rFonts w:ascii="Calibri" w:hAnsi="Calibri"/>
                        </w:rPr>
                        <w:t>illion</w:t>
                      </w:r>
                    </w:p>
                    <w:p w14:paraId="5BB0D931" w14:textId="77777777" w:rsidR="006A5868" w:rsidRDefault="006A5868" w:rsidP="00D10877">
                      <w:pPr>
                        <w:spacing w:after="0"/>
                        <w:jc w:val="both"/>
                        <w:rPr>
                          <w:rFonts w:ascii="Calibri" w:hAnsi="Calibri"/>
                        </w:rPr>
                      </w:pPr>
                      <w:r w:rsidRPr="00F565A7">
                        <w:rPr>
                          <w:rFonts w:ascii="Calibri" w:hAnsi="Calibri"/>
                          <w:b/>
                        </w:rPr>
                        <w:t>Market Cap:</w:t>
                      </w:r>
                      <w:r w:rsidRPr="00F565A7">
                        <w:rPr>
                          <w:rFonts w:ascii="Calibri" w:hAnsi="Calibri"/>
                        </w:rPr>
                        <w:t xml:space="preserve"> £25</w:t>
                      </w:r>
                      <w:r>
                        <w:rPr>
                          <w:rFonts w:ascii="Calibri" w:hAnsi="Calibri"/>
                        </w:rPr>
                        <w:t xml:space="preserve"> </w:t>
                      </w:r>
                      <w:r w:rsidRPr="00F565A7">
                        <w:rPr>
                          <w:rFonts w:ascii="Calibri" w:hAnsi="Calibri"/>
                        </w:rPr>
                        <w:t>m</w:t>
                      </w:r>
                      <w:r>
                        <w:rPr>
                          <w:rFonts w:ascii="Calibri" w:hAnsi="Calibri"/>
                        </w:rPr>
                        <w:t>illion</w:t>
                      </w:r>
                    </w:p>
                    <w:p w14:paraId="2A8922D1" w14:textId="77777777" w:rsidR="006A5868" w:rsidRPr="00F565A7" w:rsidRDefault="006A5868" w:rsidP="00D10877">
                      <w:pPr>
                        <w:spacing w:after="0"/>
                        <w:jc w:val="both"/>
                        <w:rPr>
                          <w:rFonts w:ascii="Calibri" w:hAnsi="Calibri"/>
                        </w:rPr>
                      </w:pPr>
                    </w:p>
                    <w:p w14:paraId="6A09629F" w14:textId="2DC96454"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D</w:t>
                      </w:r>
                      <w:r w:rsidRPr="00F565A7">
                        <w:rPr>
                          <w:rFonts w:ascii="Calibri" w:hAnsi="Calibri"/>
                        </w:rPr>
                        <w:t xml:space="preserve"> had inadvertently broken the personal company test for a short period, while in the process of a share reorganisation. It was due to a technicality in the “ordinary” share capital requirement. </w:t>
                      </w:r>
                    </w:p>
                    <w:p w14:paraId="05195E88" w14:textId="77777777" w:rsidR="006A5868" w:rsidRPr="00F565A7" w:rsidRDefault="006A5868" w:rsidP="00D10877">
                      <w:pPr>
                        <w:jc w:val="both"/>
                        <w:rPr>
                          <w:rFonts w:ascii="Calibri" w:hAnsi="Calibri"/>
                        </w:rPr>
                      </w:pPr>
                      <w:r w:rsidRPr="00F565A7">
                        <w:rPr>
                          <w:rFonts w:ascii="Calibri" w:hAnsi="Calibri"/>
                        </w:rPr>
                        <w:t>Estimated extra cost to company in management time - uncertain over the management cost, however it cost the shareholder £1.8</w:t>
                      </w:r>
                      <w:r>
                        <w:rPr>
                          <w:rFonts w:ascii="Calibri" w:hAnsi="Calibri"/>
                        </w:rPr>
                        <w:t xml:space="preserve"> </w:t>
                      </w:r>
                      <w:r w:rsidRPr="00F565A7">
                        <w:rPr>
                          <w:rFonts w:ascii="Calibri" w:hAnsi="Calibri"/>
                        </w:rPr>
                        <w:t>m</w:t>
                      </w:r>
                      <w:r>
                        <w:rPr>
                          <w:rFonts w:ascii="Calibri" w:hAnsi="Calibri"/>
                        </w:rPr>
                        <w:t>illion</w:t>
                      </w:r>
                      <w:r w:rsidRPr="00F565A7">
                        <w:rPr>
                          <w:rFonts w:ascii="Calibri" w:hAnsi="Calibri"/>
                        </w:rPr>
                        <w:t xml:space="preserve"> in lost Entrepreneurs’ Relief over the 12 months</w:t>
                      </w:r>
                    </w:p>
                    <w:p w14:paraId="394C490B" w14:textId="77777777" w:rsidR="006A5868" w:rsidRPr="00F565A7" w:rsidRDefault="006A5868" w:rsidP="00D10877">
                      <w:pPr>
                        <w:jc w:val="both"/>
                        <w:rPr>
                          <w:rFonts w:ascii="Calibri" w:hAnsi="Calibri"/>
                        </w:rPr>
                      </w:pPr>
                      <w:r w:rsidRPr="00F565A7">
                        <w:rPr>
                          <w:rFonts w:ascii="Calibri" w:hAnsi="Calibri"/>
                          <w:b/>
                        </w:rPr>
                        <w:t>Extra cost to company in advisor fees:</w:t>
                      </w:r>
                      <w:r w:rsidRPr="00F565A7">
                        <w:rPr>
                          <w:rFonts w:ascii="Calibri" w:hAnsi="Calibri"/>
                        </w:rPr>
                        <w:t xml:space="preserve"> £10,000 </w:t>
                      </w:r>
                    </w:p>
                  </w:txbxContent>
                </v:textbox>
                <w10:anchorlock/>
              </v:shape>
            </w:pict>
          </mc:Fallback>
        </mc:AlternateContent>
      </w:r>
    </w:p>
    <w:p w14:paraId="03485766" w14:textId="58B7355B" w:rsidR="00D10877" w:rsidRDefault="00D10877" w:rsidP="00D10877">
      <w:pPr>
        <w:jc w:val="both"/>
        <w:rPr>
          <w:rFonts w:ascii="Calibri" w:hAnsi="Calibri"/>
        </w:rPr>
      </w:pPr>
    </w:p>
    <w:p w14:paraId="094D8660" w14:textId="3B25E645" w:rsidR="00D10877" w:rsidRDefault="00D10877" w:rsidP="00D10877">
      <w:pPr>
        <w:jc w:val="both"/>
        <w:rPr>
          <w:rFonts w:ascii="Calibri" w:hAnsi="Calibri"/>
        </w:rPr>
      </w:pPr>
    </w:p>
    <w:p w14:paraId="7E28CBB1" w14:textId="1D72479C" w:rsidR="00D10877" w:rsidRDefault="00D10877" w:rsidP="00D10877">
      <w:pPr>
        <w:jc w:val="both"/>
        <w:rPr>
          <w:rFonts w:ascii="Calibri" w:hAnsi="Calibri"/>
        </w:rPr>
      </w:pPr>
    </w:p>
    <w:p w14:paraId="7E1B4CAF" w14:textId="3FD175E7" w:rsidR="00D10877" w:rsidRDefault="00D10877" w:rsidP="00D10877">
      <w:pPr>
        <w:jc w:val="both"/>
        <w:rPr>
          <w:rFonts w:ascii="Calibri" w:hAnsi="Calibri"/>
        </w:rPr>
      </w:pPr>
    </w:p>
    <w:p w14:paraId="7859CF2E" w14:textId="523BC906" w:rsidR="00D10877" w:rsidRDefault="001E41DD" w:rsidP="00D10877">
      <w:pPr>
        <w:jc w:val="both"/>
        <w:rPr>
          <w:rFonts w:ascii="Calibri" w:hAnsi="Calibri"/>
        </w:rPr>
      </w:pPr>
      <w:r w:rsidRPr="00F565A7">
        <w:rPr>
          <w:rFonts w:ascii="Calibri" w:hAnsi="Calibri"/>
          <w:noProof/>
          <w:lang w:eastAsia="en-GB"/>
        </w:rPr>
        <mc:AlternateContent>
          <mc:Choice Requires="wps">
            <w:drawing>
              <wp:anchor distT="0" distB="0" distL="114300" distR="114300" simplePos="0" relativeHeight="251658240" behindDoc="0" locked="0" layoutInCell="1" allowOverlap="1" wp14:anchorId="3BAA0F23" wp14:editId="5F34EC52">
                <wp:simplePos x="0" y="0"/>
                <wp:positionH relativeFrom="column">
                  <wp:posOffset>1905</wp:posOffset>
                </wp:positionH>
                <wp:positionV relativeFrom="paragraph">
                  <wp:posOffset>191580</wp:posOffset>
                </wp:positionV>
                <wp:extent cx="6172200" cy="1403985"/>
                <wp:effectExtent l="0" t="0" r="19050" b="1079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4CC93ACE" w14:textId="18F117FF" w:rsidR="006A5868" w:rsidRPr="0044446C" w:rsidRDefault="006A5868" w:rsidP="00D10877">
                            <w:pPr>
                              <w:jc w:val="both"/>
                              <w:rPr>
                                <w:rFonts w:ascii="Calibri" w:hAnsi="Calibri"/>
                                <w:b/>
                              </w:rPr>
                            </w:pPr>
                            <w:r w:rsidRPr="0044446C">
                              <w:rPr>
                                <w:rFonts w:ascii="Calibri" w:hAnsi="Calibri"/>
                                <w:b/>
                              </w:rPr>
                              <w:t xml:space="preserve">Company </w:t>
                            </w:r>
                            <w:r>
                              <w:rPr>
                                <w:rFonts w:ascii="Calibri" w:hAnsi="Calibri"/>
                                <w:b/>
                              </w:rPr>
                              <w:t>F</w:t>
                            </w:r>
                          </w:p>
                          <w:p w14:paraId="5EE1CD72" w14:textId="77777777" w:rsidR="006A5868" w:rsidRPr="00F565A7" w:rsidRDefault="006A5868" w:rsidP="00D10877">
                            <w:pPr>
                              <w:spacing w:after="0"/>
                              <w:jc w:val="both"/>
                              <w:rPr>
                                <w:rFonts w:ascii="Calibri" w:hAnsi="Calibri"/>
                              </w:rPr>
                            </w:pPr>
                            <w:r w:rsidRPr="0044446C">
                              <w:rPr>
                                <w:rFonts w:ascii="Calibri" w:hAnsi="Calibri"/>
                                <w:b/>
                              </w:rPr>
                              <w:t>Number of Employees:</w:t>
                            </w:r>
                            <w:r>
                              <w:rPr>
                                <w:rFonts w:ascii="Calibri" w:hAnsi="Calibri"/>
                              </w:rPr>
                              <w:t xml:space="preserve"> </w:t>
                            </w:r>
                            <w:r w:rsidRPr="00F565A7">
                              <w:rPr>
                                <w:rFonts w:ascii="Calibri" w:hAnsi="Calibri"/>
                              </w:rPr>
                              <w:t>200</w:t>
                            </w:r>
                          </w:p>
                          <w:p w14:paraId="17937BBD" w14:textId="77777777" w:rsidR="006A5868" w:rsidRDefault="006A5868" w:rsidP="00D10877">
                            <w:pPr>
                              <w:spacing w:after="0"/>
                              <w:jc w:val="both"/>
                              <w:rPr>
                                <w:rFonts w:ascii="Calibri" w:hAnsi="Calibri"/>
                              </w:rPr>
                            </w:pPr>
                            <w:r w:rsidRPr="0044446C">
                              <w:rPr>
                                <w:rFonts w:ascii="Calibri" w:hAnsi="Calibri"/>
                                <w:b/>
                              </w:rPr>
                              <w:t>Turnover:</w:t>
                            </w:r>
                            <w:r w:rsidRPr="00F565A7">
                              <w:rPr>
                                <w:rFonts w:ascii="Calibri" w:hAnsi="Calibri"/>
                              </w:rPr>
                              <w:t xml:space="preserve">  £20</w:t>
                            </w:r>
                            <w:r>
                              <w:rPr>
                                <w:rFonts w:ascii="Calibri" w:hAnsi="Calibri"/>
                              </w:rPr>
                              <w:t xml:space="preserve"> </w:t>
                            </w:r>
                            <w:r w:rsidRPr="00F565A7">
                              <w:rPr>
                                <w:rFonts w:ascii="Calibri" w:hAnsi="Calibri"/>
                              </w:rPr>
                              <w:t>m</w:t>
                            </w:r>
                            <w:r>
                              <w:rPr>
                                <w:rFonts w:ascii="Calibri" w:hAnsi="Calibri"/>
                              </w:rPr>
                              <w:t>illion</w:t>
                            </w:r>
                          </w:p>
                          <w:p w14:paraId="0FFEB5AA" w14:textId="77777777" w:rsidR="006A5868" w:rsidRPr="00F565A7" w:rsidRDefault="006A5868" w:rsidP="00D10877">
                            <w:pPr>
                              <w:spacing w:after="0"/>
                              <w:jc w:val="both"/>
                              <w:rPr>
                                <w:rFonts w:ascii="Calibri" w:hAnsi="Calibri"/>
                              </w:rPr>
                            </w:pPr>
                          </w:p>
                          <w:p w14:paraId="398BF07B" w14:textId="74E0ABC6"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F</w:t>
                            </w:r>
                            <w:r w:rsidRPr="00F565A7">
                              <w:rPr>
                                <w:rFonts w:ascii="Calibri" w:hAnsi="Calibri"/>
                              </w:rPr>
                              <w:t>’s balance sheet was not attractive to lenders as there was a large shareholder debt present. The shareholder proposed to capitalise debt; however, the form of share (which would have been commercially acceptable and accounted for/disclosed as shareholder funds) would have been classed as "ordinary share capital". The issue of these new ordinary shares would have diluted all the managers’ holdings below 5%. There was an enormous amount of time and effort, and not inconsiderable professional cost expended, in debating and solving an issue that was far removed from the very laudable commercial aim of trying to attract new funding to the business.</w:t>
                            </w:r>
                          </w:p>
                          <w:p w14:paraId="48958197"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management time:</w:t>
                            </w:r>
                            <w:r w:rsidRPr="00F565A7">
                              <w:rPr>
                                <w:rFonts w:ascii="Calibri" w:hAnsi="Calibri"/>
                              </w:rPr>
                              <w:t xml:space="preserve"> very significant</w:t>
                            </w:r>
                          </w:p>
                          <w:p w14:paraId="2A994EB4"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advisor fees:</w:t>
                            </w:r>
                            <w:r>
                              <w:rPr>
                                <w:rFonts w:ascii="Calibri" w:hAnsi="Calibri"/>
                              </w:rPr>
                              <w:t xml:space="preserve"> </w:t>
                            </w:r>
                            <w:r w:rsidRPr="00F565A7">
                              <w:rPr>
                                <w:rFonts w:ascii="Calibri" w:hAnsi="Calibri"/>
                              </w:rPr>
                              <w:t>in excess of £20,000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AA0F23" id="_x0000_s1035" type="#_x0000_t202" style="position:absolute;left:0;text-align:left;margin-left:.15pt;margin-top:15.1pt;width:486pt;height:110.5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">
                <v:textbox style="mso-fit-shape-to-text:t">
                  <w:txbxContent>
                    <w:p w14:paraId="4CC93ACE" w14:textId="18F117FF" w:rsidR="006A5868" w:rsidRPr="0044446C" w:rsidRDefault="006A5868" w:rsidP="00D10877">
                      <w:pPr>
                        <w:jc w:val="both"/>
                        <w:rPr>
                          <w:rFonts w:ascii="Calibri" w:hAnsi="Calibri"/>
                          <w:b/>
                        </w:rPr>
                      </w:pPr>
                      <w:r w:rsidRPr="0044446C">
                        <w:rPr>
                          <w:rFonts w:ascii="Calibri" w:hAnsi="Calibri"/>
                          <w:b/>
                        </w:rPr>
                        <w:t xml:space="preserve">Company </w:t>
                      </w:r>
                      <w:r>
                        <w:rPr>
                          <w:rFonts w:ascii="Calibri" w:hAnsi="Calibri"/>
                          <w:b/>
                        </w:rPr>
                        <w:t>F</w:t>
                      </w:r>
                    </w:p>
                    <w:p w14:paraId="5EE1CD72" w14:textId="77777777" w:rsidR="006A5868" w:rsidRPr="00F565A7" w:rsidRDefault="006A5868" w:rsidP="00D10877">
                      <w:pPr>
                        <w:spacing w:after="0"/>
                        <w:jc w:val="both"/>
                        <w:rPr>
                          <w:rFonts w:ascii="Calibri" w:hAnsi="Calibri"/>
                        </w:rPr>
                      </w:pPr>
                      <w:r w:rsidRPr="0044446C">
                        <w:rPr>
                          <w:rFonts w:ascii="Calibri" w:hAnsi="Calibri"/>
                          <w:b/>
                        </w:rPr>
                        <w:t>Number of Employees:</w:t>
                      </w:r>
                      <w:r>
                        <w:rPr>
                          <w:rFonts w:ascii="Calibri" w:hAnsi="Calibri"/>
                        </w:rPr>
                        <w:t xml:space="preserve"> </w:t>
                      </w:r>
                      <w:r w:rsidRPr="00F565A7">
                        <w:rPr>
                          <w:rFonts w:ascii="Calibri" w:hAnsi="Calibri"/>
                        </w:rPr>
                        <w:t>200</w:t>
                      </w:r>
                    </w:p>
                    <w:p w14:paraId="17937BBD" w14:textId="77777777" w:rsidR="006A5868" w:rsidRDefault="006A5868" w:rsidP="00D10877">
                      <w:pPr>
                        <w:spacing w:after="0"/>
                        <w:jc w:val="both"/>
                        <w:rPr>
                          <w:rFonts w:ascii="Calibri" w:hAnsi="Calibri"/>
                        </w:rPr>
                      </w:pPr>
                      <w:r w:rsidRPr="0044446C">
                        <w:rPr>
                          <w:rFonts w:ascii="Calibri" w:hAnsi="Calibri"/>
                          <w:b/>
                        </w:rPr>
                        <w:t>Turnover:</w:t>
                      </w:r>
                      <w:r w:rsidRPr="00F565A7">
                        <w:rPr>
                          <w:rFonts w:ascii="Calibri" w:hAnsi="Calibri"/>
                        </w:rPr>
                        <w:t xml:space="preserve">  £20</w:t>
                      </w:r>
                      <w:r>
                        <w:rPr>
                          <w:rFonts w:ascii="Calibri" w:hAnsi="Calibri"/>
                        </w:rPr>
                        <w:t xml:space="preserve"> </w:t>
                      </w:r>
                      <w:r w:rsidRPr="00F565A7">
                        <w:rPr>
                          <w:rFonts w:ascii="Calibri" w:hAnsi="Calibri"/>
                        </w:rPr>
                        <w:t>m</w:t>
                      </w:r>
                      <w:r>
                        <w:rPr>
                          <w:rFonts w:ascii="Calibri" w:hAnsi="Calibri"/>
                        </w:rPr>
                        <w:t>illion</w:t>
                      </w:r>
                    </w:p>
                    <w:p w14:paraId="0FFEB5AA" w14:textId="77777777" w:rsidR="006A5868" w:rsidRPr="00F565A7" w:rsidRDefault="006A5868" w:rsidP="00D10877">
                      <w:pPr>
                        <w:spacing w:after="0"/>
                        <w:jc w:val="both"/>
                        <w:rPr>
                          <w:rFonts w:ascii="Calibri" w:hAnsi="Calibri"/>
                        </w:rPr>
                      </w:pPr>
                    </w:p>
                    <w:p w14:paraId="398BF07B" w14:textId="74E0ABC6"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F</w:t>
                      </w:r>
                      <w:r w:rsidRPr="00F565A7">
                        <w:rPr>
                          <w:rFonts w:ascii="Calibri" w:hAnsi="Calibri"/>
                        </w:rPr>
                        <w:t>’s balance sheet was not attractive to lenders as there was a large shareholder debt present. The shareholder proposed to capitalise debt; however, the form of share (which would have been commercially acceptable and accounted for/disclosed as shareholder funds) would have been classed as "ordinary share capital". The issue of these new ordinary shares would have diluted all the managers’ holdings below 5%. There was an enormous amount of time and effort, and not inconsiderable professional cost expended, in debating and solving an issue that was far removed from the very laudable commercial aim of trying to attract new funding to the business.</w:t>
                      </w:r>
                    </w:p>
                    <w:p w14:paraId="48958197"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management time:</w:t>
                      </w:r>
                      <w:r w:rsidRPr="00F565A7">
                        <w:rPr>
                          <w:rFonts w:ascii="Calibri" w:hAnsi="Calibri"/>
                        </w:rPr>
                        <w:t xml:space="preserve"> very significant</w:t>
                      </w:r>
                    </w:p>
                    <w:p w14:paraId="2A994EB4" w14:textId="77777777" w:rsidR="006A5868" w:rsidRPr="00F565A7" w:rsidRDefault="006A5868" w:rsidP="00D10877">
                      <w:pPr>
                        <w:spacing w:after="0"/>
                        <w:jc w:val="both"/>
                        <w:rPr>
                          <w:rFonts w:ascii="Calibri" w:hAnsi="Calibri"/>
                        </w:rPr>
                      </w:pPr>
                      <w:r w:rsidRPr="00F565A7">
                        <w:rPr>
                          <w:rFonts w:ascii="Calibri" w:hAnsi="Calibri"/>
                          <w:b/>
                        </w:rPr>
                        <w:t>Estimated extra cost to company in advisor fees:</w:t>
                      </w:r>
                      <w:r>
                        <w:rPr>
                          <w:rFonts w:ascii="Calibri" w:hAnsi="Calibri"/>
                        </w:rPr>
                        <w:t xml:space="preserve"> </w:t>
                      </w:r>
                      <w:r w:rsidRPr="00F565A7">
                        <w:rPr>
                          <w:rFonts w:ascii="Calibri" w:hAnsi="Calibri"/>
                        </w:rPr>
                        <w:t>in excess of £20,000</w:t>
                      </w:r>
                    </w:p>
                  </w:txbxContent>
                </v:textbox>
              </v:shape>
            </w:pict>
          </mc:Fallback>
        </mc:AlternateContent>
      </w:r>
    </w:p>
    <w:p w14:paraId="286E106C" w14:textId="3B3DF063" w:rsidR="00D10877" w:rsidRDefault="00D10877" w:rsidP="00D10877">
      <w:pPr>
        <w:jc w:val="both"/>
        <w:rPr>
          <w:rFonts w:ascii="Calibri" w:hAnsi="Calibri"/>
        </w:rPr>
      </w:pPr>
    </w:p>
    <w:p w14:paraId="2178CAB0" w14:textId="41096A0C" w:rsidR="00D10877" w:rsidRDefault="00D10877" w:rsidP="00D10877">
      <w:pPr>
        <w:jc w:val="both"/>
        <w:rPr>
          <w:rFonts w:ascii="Calibri" w:hAnsi="Calibri"/>
        </w:rPr>
      </w:pPr>
    </w:p>
    <w:p w14:paraId="4B8D579E" w14:textId="6E3246C0" w:rsidR="00F27B7A" w:rsidRDefault="00F27B7A" w:rsidP="00D10877">
      <w:pPr>
        <w:jc w:val="both"/>
        <w:rPr>
          <w:rFonts w:ascii="Calibri" w:hAnsi="Calibri"/>
        </w:rPr>
      </w:pPr>
    </w:p>
    <w:p w14:paraId="0867380C" w14:textId="4E0E50A0" w:rsidR="00F27B7A" w:rsidRDefault="00F27B7A" w:rsidP="00D10877">
      <w:pPr>
        <w:jc w:val="both"/>
        <w:rPr>
          <w:rFonts w:ascii="Calibri" w:hAnsi="Calibri"/>
        </w:rPr>
      </w:pPr>
    </w:p>
    <w:p w14:paraId="7ADDCA32" w14:textId="2AEF82D1" w:rsidR="00F27B7A" w:rsidRDefault="00F27B7A" w:rsidP="00D10877">
      <w:pPr>
        <w:jc w:val="both"/>
        <w:rPr>
          <w:rFonts w:ascii="Calibri" w:hAnsi="Calibri"/>
        </w:rPr>
      </w:pPr>
    </w:p>
    <w:p w14:paraId="29A2D5F4" w14:textId="77777777" w:rsidR="00F27B7A" w:rsidRDefault="00F27B7A" w:rsidP="00D10877">
      <w:pPr>
        <w:jc w:val="both"/>
        <w:rPr>
          <w:rFonts w:ascii="Calibri" w:hAnsi="Calibri"/>
        </w:rPr>
      </w:pPr>
    </w:p>
    <w:p w14:paraId="330E1EBC" w14:textId="3DB669CF" w:rsidR="00F27B7A" w:rsidRDefault="00F27B7A" w:rsidP="00D10877">
      <w:pPr>
        <w:jc w:val="both"/>
        <w:rPr>
          <w:rFonts w:ascii="Calibri" w:hAnsi="Calibri"/>
        </w:rPr>
      </w:pPr>
    </w:p>
    <w:p w14:paraId="611BDC28" w14:textId="43C8B26C" w:rsidR="001F1ACE" w:rsidRDefault="001F1ACE" w:rsidP="00D10877">
      <w:pPr>
        <w:jc w:val="both"/>
        <w:rPr>
          <w:rFonts w:ascii="Calibri" w:hAnsi="Calibri"/>
        </w:rPr>
      </w:pPr>
    </w:p>
    <w:p w14:paraId="1C566B4D" w14:textId="18EEE7CB" w:rsidR="00D10877" w:rsidRDefault="00D10877" w:rsidP="00D10877">
      <w:pPr>
        <w:jc w:val="both"/>
        <w:rPr>
          <w:rFonts w:ascii="Calibri" w:hAnsi="Calibri"/>
        </w:rPr>
      </w:pPr>
    </w:p>
    <w:p w14:paraId="3A5F3A1F" w14:textId="642135AE" w:rsidR="00D10877" w:rsidRDefault="00D10877" w:rsidP="00D10877">
      <w:pPr>
        <w:jc w:val="both"/>
        <w:rPr>
          <w:rFonts w:ascii="Calibri" w:hAnsi="Calibri"/>
        </w:rPr>
      </w:pPr>
    </w:p>
    <w:p w14:paraId="7245863C" w14:textId="29794918" w:rsidR="00D10877" w:rsidRDefault="00D10877" w:rsidP="00D10877">
      <w:pPr>
        <w:jc w:val="both"/>
        <w:rPr>
          <w:rFonts w:ascii="Calibri" w:hAnsi="Calibri"/>
        </w:rPr>
      </w:pPr>
    </w:p>
    <w:p w14:paraId="30AEA555" w14:textId="0C93111A" w:rsidR="00D10877" w:rsidRDefault="00D10877" w:rsidP="00D10877">
      <w:pPr>
        <w:jc w:val="both"/>
        <w:rPr>
          <w:rFonts w:ascii="Calibri" w:hAnsi="Calibri"/>
        </w:rPr>
      </w:pPr>
    </w:p>
    <w:p w14:paraId="37097D61" w14:textId="01FEE590" w:rsidR="00D10877" w:rsidRDefault="00D10877" w:rsidP="00D10877">
      <w:pPr>
        <w:jc w:val="both"/>
        <w:rPr>
          <w:rFonts w:ascii="Calibri" w:hAnsi="Calibri"/>
        </w:rPr>
      </w:pPr>
    </w:p>
    <w:p w14:paraId="021BC15E" w14:textId="7C652183" w:rsidR="00D10877" w:rsidRDefault="00D10877" w:rsidP="00D10877">
      <w:pPr>
        <w:jc w:val="both"/>
        <w:rPr>
          <w:rFonts w:ascii="Calibri" w:hAnsi="Calibri"/>
        </w:rPr>
      </w:pPr>
    </w:p>
    <w:p w14:paraId="7DD5DF6D" w14:textId="5AFC3F94" w:rsidR="00D10877" w:rsidRDefault="00D10877" w:rsidP="00D10877">
      <w:pPr>
        <w:jc w:val="both"/>
        <w:rPr>
          <w:rFonts w:ascii="Calibri" w:hAnsi="Calibri"/>
        </w:rPr>
      </w:pPr>
    </w:p>
    <w:p w14:paraId="10E96638" w14:textId="6793CAA3" w:rsidR="00D10877" w:rsidRDefault="001E41DD" w:rsidP="00D10877">
      <w:pPr>
        <w:jc w:val="both"/>
        <w:rPr>
          <w:rFonts w:ascii="Calibri" w:hAnsi="Calibri"/>
        </w:rPr>
      </w:pPr>
      <w:r w:rsidRPr="00F565A7">
        <w:rPr>
          <w:rFonts w:ascii="Calibri" w:hAnsi="Calibri"/>
          <w:noProof/>
          <w:lang w:eastAsia="en-GB"/>
        </w:rPr>
        <w:lastRenderedPageBreak/>
        <mc:AlternateContent>
          <mc:Choice Requires="wps">
            <w:drawing>
              <wp:anchor distT="0" distB="0" distL="114300" distR="114300" simplePos="0" relativeHeight="251659264" behindDoc="0" locked="0" layoutInCell="1" allowOverlap="1" wp14:anchorId="34D26FCC" wp14:editId="0C5AE2B4">
                <wp:simplePos x="0" y="0"/>
                <wp:positionH relativeFrom="column">
                  <wp:posOffset>-185098</wp:posOffset>
                </wp:positionH>
                <wp:positionV relativeFrom="paragraph">
                  <wp:posOffset>29177</wp:posOffset>
                </wp:positionV>
                <wp:extent cx="6172200" cy="1403985"/>
                <wp:effectExtent l="0" t="0" r="19050" b="1524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34C52EC1" w14:textId="68828ED3"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G</w:t>
                            </w:r>
                          </w:p>
                          <w:p w14:paraId="0B9F69C0" w14:textId="3050FB67"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G</w:t>
                            </w:r>
                            <w:r w:rsidRPr="00F565A7">
                              <w:rPr>
                                <w:rFonts w:ascii="Calibri" w:hAnsi="Calibri"/>
                              </w:rPr>
                              <w:t>, which operates share option schemes, is highly acquisitive – issuing shares to buy businesses. It has one executive with a 5% shareholding and he has had to top up his interest from time to time to keep the 5% holding as further shares are issued. In the meantime, the worry of getting numbers right gives the company secretary extra work.</w:t>
                            </w:r>
                          </w:p>
                          <w:p w14:paraId="7DA890BC" w14:textId="77777777" w:rsidR="006A5868" w:rsidRPr="00F565A7" w:rsidRDefault="006A5868" w:rsidP="00D10877">
                            <w:pPr>
                              <w:jc w:val="both"/>
                              <w:rPr>
                                <w:rFonts w:ascii="Calibri" w:hAnsi="Calibri"/>
                              </w:rPr>
                            </w:pPr>
                            <w:r w:rsidRPr="00F565A7">
                              <w:rPr>
                                <w:rFonts w:ascii="Calibri" w:hAnsi="Calibri"/>
                              </w:rPr>
                              <w:t>The company concerned would say it is wrong that this executive is penalised for the success and growth of the company. Once someone has met the conditions, he/she should retain the relief so long as he/she remains an employee/director – however small his/her shareholding becomes. EMI options do not lose their relief because a company grows in size; neither should Entrepreneurs’ Relief be lost in the same way.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D26FCC" id="_x0000_s1036" type="#_x0000_t202" style="position:absolute;left:0;text-align:left;margin-left:-14.55pt;margin-top:2.3pt;width:486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">
                <v:textbox style="mso-fit-shape-to-text:t">
                  <w:txbxContent>
                    <w:p w14:paraId="34C52EC1" w14:textId="68828ED3"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G</w:t>
                      </w:r>
                    </w:p>
                    <w:p w14:paraId="0B9F69C0" w14:textId="3050FB67"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G</w:t>
                      </w:r>
                      <w:r w:rsidRPr="00F565A7">
                        <w:rPr>
                          <w:rFonts w:ascii="Calibri" w:hAnsi="Calibri"/>
                        </w:rPr>
                        <w:t>, which operates share option schemes, is highly acquisitive – issuing shares to buy businesses. It has one executive with a 5% shareholding and he has had to top up his interest from time to time to keep the 5% holding as further shares are issued. In the meantime, the worry of getting numbers right gives the company secretary extra work.</w:t>
                      </w:r>
                    </w:p>
                    <w:p w14:paraId="7DA890BC" w14:textId="77777777" w:rsidR="006A5868" w:rsidRPr="00F565A7" w:rsidRDefault="006A5868" w:rsidP="00D10877">
                      <w:pPr>
                        <w:jc w:val="both"/>
                        <w:rPr>
                          <w:rFonts w:ascii="Calibri" w:hAnsi="Calibri"/>
                        </w:rPr>
                      </w:pPr>
                      <w:r w:rsidRPr="00F565A7">
                        <w:rPr>
                          <w:rFonts w:ascii="Calibri" w:hAnsi="Calibri"/>
                        </w:rPr>
                        <w:t>The company concerned would say it is wrong that this executive is penalised for the success and growth of the company. Once someone has met the conditions, he/she should retain the relief so long as he/she remains an employee/director – however small his/her shareholding becomes. EMI options do not lose their relief because a company grows in size; neither should Entrepreneurs’ Relief be lost in the same way.</w:t>
                      </w:r>
                    </w:p>
                  </w:txbxContent>
                </v:textbox>
              </v:shape>
            </w:pict>
          </mc:Fallback>
        </mc:AlternateContent>
      </w:r>
    </w:p>
    <w:p w14:paraId="6F1CC43F" w14:textId="561B1224" w:rsidR="005A619C" w:rsidRDefault="005A619C" w:rsidP="00D10877">
      <w:pPr>
        <w:jc w:val="both"/>
        <w:rPr>
          <w:rFonts w:ascii="Calibri" w:hAnsi="Calibri"/>
        </w:rPr>
      </w:pPr>
    </w:p>
    <w:p w14:paraId="443F016D" w14:textId="3182C406" w:rsidR="00D10877" w:rsidRDefault="00D10877" w:rsidP="00D10877">
      <w:pPr>
        <w:jc w:val="both"/>
        <w:rPr>
          <w:rFonts w:ascii="Calibri" w:hAnsi="Calibri"/>
        </w:rPr>
      </w:pPr>
    </w:p>
    <w:p w14:paraId="40269A39" w14:textId="2F9E9602" w:rsidR="00D10877" w:rsidRDefault="00D10877" w:rsidP="00D10877">
      <w:pPr>
        <w:jc w:val="both"/>
        <w:rPr>
          <w:rFonts w:ascii="Calibri" w:hAnsi="Calibri"/>
        </w:rPr>
      </w:pPr>
    </w:p>
    <w:p w14:paraId="23F75E91" w14:textId="48AACB8D" w:rsidR="00D10877" w:rsidRDefault="00D10877" w:rsidP="00D10877">
      <w:pPr>
        <w:jc w:val="both"/>
        <w:rPr>
          <w:rFonts w:ascii="Calibri" w:hAnsi="Calibri"/>
        </w:rPr>
      </w:pPr>
    </w:p>
    <w:p w14:paraId="63F39CB1" w14:textId="7F32FA38" w:rsidR="00D10877" w:rsidRDefault="00D10877" w:rsidP="00D10877">
      <w:pPr>
        <w:jc w:val="both"/>
        <w:rPr>
          <w:rFonts w:ascii="Calibri" w:hAnsi="Calibri"/>
        </w:rPr>
      </w:pPr>
    </w:p>
    <w:p w14:paraId="13CF1F1A" w14:textId="7637DB49" w:rsidR="00D10877" w:rsidRDefault="00D10877" w:rsidP="00D10877">
      <w:pPr>
        <w:jc w:val="both"/>
        <w:rPr>
          <w:rFonts w:ascii="Calibri" w:hAnsi="Calibri"/>
        </w:rPr>
      </w:pPr>
    </w:p>
    <w:p w14:paraId="0BE8D209" w14:textId="53523B53" w:rsidR="00D10877" w:rsidRPr="00F565A7" w:rsidRDefault="001E41DD" w:rsidP="00D10877">
      <w:pPr>
        <w:jc w:val="both"/>
        <w:rPr>
          <w:rFonts w:ascii="Calibri" w:hAnsi="Calibri"/>
        </w:rPr>
      </w:pPr>
      <w:r w:rsidRPr="00F565A7">
        <w:rPr>
          <w:rFonts w:ascii="Calibri" w:hAnsi="Calibri"/>
          <w:noProof/>
          <w:lang w:eastAsia="en-GB"/>
        </w:rPr>
        <mc:AlternateContent>
          <mc:Choice Requires="wps">
            <w:drawing>
              <wp:anchor distT="0" distB="0" distL="114300" distR="114300" simplePos="0" relativeHeight="251660288" behindDoc="0" locked="0" layoutInCell="1" allowOverlap="1" wp14:anchorId="0F5EE079" wp14:editId="15B7CFDC">
                <wp:simplePos x="0" y="0"/>
                <wp:positionH relativeFrom="column">
                  <wp:posOffset>-189865</wp:posOffset>
                </wp:positionH>
                <wp:positionV relativeFrom="paragraph">
                  <wp:posOffset>387160</wp:posOffset>
                </wp:positionV>
                <wp:extent cx="6172200" cy="1403985"/>
                <wp:effectExtent l="0" t="0" r="19050" b="2603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21CD263F" w14:textId="1E6D369C"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H</w:t>
                            </w:r>
                          </w:p>
                          <w:p w14:paraId="5640FDFA" w14:textId="4A04AC40"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H</w:t>
                            </w:r>
                            <w:r w:rsidRPr="00F565A7">
                              <w:rPr>
                                <w:rFonts w:ascii="Calibri" w:hAnsi="Calibri"/>
                              </w:rPr>
                              <w:t xml:space="preserve"> had to restructure its share capital to get round the fact that B Preference Shares, which had no right at all to dividends (and were effectively subordinated interest free debt rather than equity), were arguably "ordinary share capital" (and not fixed rate preference shares). The need to arguably take the B Preference Shares into account when determining whether the 5% condition meant that certain employees, who had, in practice, an equity interest of greater than 5%, would have been prevented from obtaining Entrepreneurs’ Relief without the share capital restructuring. </w:t>
                            </w:r>
                          </w:p>
                          <w:p w14:paraId="165C376A" w14:textId="77777777" w:rsidR="006A5868" w:rsidRPr="00F565A7" w:rsidRDefault="006A5868" w:rsidP="00D10877">
                            <w:pPr>
                              <w:jc w:val="both"/>
                              <w:rPr>
                                <w:rFonts w:ascii="Calibri" w:hAnsi="Calibri"/>
                              </w:rPr>
                            </w:pPr>
                            <w:r w:rsidRPr="00F565A7">
                              <w:rPr>
                                <w:rFonts w:ascii="Calibri" w:hAnsi="Calibri"/>
                                <w:b/>
                              </w:rPr>
                              <w:t>Estimated extra cost to company in advisor fees:</w:t>
                            </w:r>
                            <w:r w:rsidRPr="00F565A7">
                              <w:rPr>
                                <w:rFonts w:ascii="Calibri" w:hAnsi="Calibri"/>
                              </w:rPr>
                              <w:t xml:space="preserve"> £5,000 - £10,000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5EE079" id="Text Box 8" o:spid="_x0000_s1037" type="#_x0000_t202" style="position:absolute;left:0;text-align:left;margin-left:-14.95pt;margin-top:30.5pt;width:486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">
                <v:textbox style="mso-fit-shape-to-text:t">
                  <w:txbxContent>
                    <w:p w14:paraId="21CD263F" w14:textId="1E6D369C" w:rsidR="006A5868" w:rsidRPr="00F565A7" w:rsidRDefault="006A5868" w:rsidP="00D10877">
                      <w:pPr>
                        <w:jc w:val="both"/>
                        <w:rPr>
                          <w:rFonts w:ascii="Calibri" w:hAnsi="Calibri"/>
                          <w:b/>
                        </w:rPr>
                      </w:pPr>
                      <w:r w:rsidRPr="00F565A7">
                        <w:rPr>
                          <w:rFonts w:ascii="Calibri" w:hAnsi="Calibri"/>
                          <w:b/>
                        </w:rPr>
                        <w:t xml:space="preserve">Company </w:t>
                      </w:r>
                      <w:r>
                        <w:rPr>
                          <w:rFonts w:ascii="Calibri" w:hAnsi="Calibri"/>
                          <w:b/>
                        </w:rPr>
                        <w:t>H</w:t>
                      </w:r>
                    </w:p>
                    <w:p w14:paraId="5640FDFA" w14:textId="4A04AC40" w:rsidR="006A5868" w:rsidRPr="00F565A7" w:rsidRDefault="006A5868" w:rsidP="00D10877">
                      <w:pPr>
                        <w:jc w:val="both"/>
                        <w:rPr>
                          <w:rFonts w:ascii="Calibri" w:hAnsi="Calibri"/>
                        </w:rPr>
                      </w:pPr>
                      <w:r w:rsidRPr="00F565A7">
                        <w:rPr>
                          <w:rFonts w:ascii="Calibri" w:hAnsi="Calibri"/>
                        </w:rPr>
                        <w:t xml:space="preserve">Company </w:t>
                      </w:r>
                      <w:r>
                        <w:rPr>
                          <w:rFonts w:ascii="Calibri" w:hAnsi="Calibri"/>
                        </w:rPr>
                        <w:t>H</w:t>
                      </w:r>
                      <w:r w:rsidRPr="00F565A7">
                        <w:rPr>
                          <w:rFonts w:ascii="Calibri" w:hAnsi="Calibri"/>
                        </w:rPr>
                        <w:t xml:space="preserve"> had to restructure its share capital to get round the fact that B Preference Shares, which had no right at all to dividends (and were effectively subordinated interest free debt rather than equity), were arguably "ordinary share capital" (and not fixed rate preference shares). The need to arguably take the B Preference Shares into account when determining whether the 5% condition meant that certain employees, who had, in practice, an equity interest of greater than 5%, would have been prevented from obtaining Entrepreneurs’ Relief without the share capital restructuring. </w:t>
                      </w:r>
                    </w:p>
                    <w:p w14:paraId="165C376A" w14:textId="77777777" w:rsidR="006A5868" w:rsidRPr="00F565A7" w:rsidRDefault="006A5868" w:rsidP="00D10877">
                      <w:pPr>
                        <w:jc w:val="both"/>
                        <w:rPr>
                          <w:rFonts w:ascii="Calibri" w:hAnsi="Calibri"/>
                        </w:rPr>
                      </w:pPr>
                      <w:r w:rsidRPr="00F565A7">
                        <w:rPr>
                          <w:rFonts w:ascii="Calibri" w:hAnsi="Calibri"/>
                          <w:b/>
                        </w:rPr>
                        <w:t>Estimated extra cost to company in advisor fees:</w:t>
                      </w:r>
                      <w:r w:rsidRPr="00F565A7">
                        <w:rPr>
                          <w:rFonts w:ascii="Calibri" w:hAnsi="Calibri"/>
                        </w:rPr>
                        <w:t xml:space="preserve"> £5,000 - £10,000</w:t>
                      </w:r>
                    </w:p>
                  </w:txbxContent>
                </v:textbox>
              </v:shape>
            </w:pict>
          </mc:Fallback>
        </mc:AlternateContent>
      </w:r>
    </w:p>
    <w:p w14:paraId="7DCE4F79" w14:textId="21A1B2BA" w:rsidR="00D10877" w:rsidRDefault="00D10877" w:rsidP="00D10877">
      <w:pPr>
        <w:jc w:val="both"/>
      </w:pPr>
    </w:p>
    <w:p w14:paraId="6ECBDB9A" w14:textId="6C49E3D1" w:rsidR="00D10877" w:rsidRDefault="00D10877" w:rsidP="00D10877">
      <w:pPr>
        <w:jc w:val="both"/>
      </w:pPr>
    </w:p>
    <w:p w14:paraId="1DB48C86" w14:textId="667FF1E7" w:rsidR="00D10877" w:rsidRDefault="00D10877" w:rsidP="00D10877">
      <w:pPr>
        <w:jc w:val="both"/>
      </w:pPr>
    </w:p>
    <w:p w14:paraId="327FA19C" w14:textId="50CD74A8" w:rsidR="00D10877" w:rsidRDefault="00D10877" w:rsidP="00D10877">
      <w:pPr>
        <w:jc w:val="both"/>
      </w:pPr>
    </w:p>
    <w:p w14:paraId="6567A899" w14:textId="3B8F0900" w:rsidR="00D10877" w:rsidRDefault="00D10877" w:rsidP="00D10877">
      <w:pPr>
        <w:jc w:val="both"/>
      </w:pPr>
    </w:p>
    <w:p w14:paraId="54BBE7FF" w14:textId="5C75BEC9" w:rsidR="00D10877" w:rsidRDefault="00D10877" w:rsidP="00D10877">
      <w:pPr>
        <w:jc w:val="both"/>
      </w:pPr>
    </w:p>
    <w:p w14:paraId="47C0097D" w14:textId="017E2DDC" w:rsidR="00D10877" w:rsidRDefault="00D10877" w:rsidP="00D10877">
      <w:pPr>
        <w:jc w:val="both"/>
      </w:pPr>
    </w:p>
    <w:p w14:paraId="2D38D0CF" w14:textId="7A0599F7" w:rsidR="00D10877" w:rsidRDefault="00D10877" w:rsidP="00D10877">
      <w:pPr>
        <w:jc w:val="both"/>
      </w:pPr>
    </w:p>
    <w:p w14:paraId="77AF6B37" w14:textId="48B2DF2D" w:rsidR="00D10877" w:rsidRDefault="00D10877" w:rsidP="00D10877">
      <w:pPr>
        <w:jc w:val="both"/>
      </w:pPr>
    </w:p>
    <w:p w14:paraId="732E9EBC" w14:textId="77777777" w:rsidR="00416B91" w:rsidRDefault="00416B91" w:rsidP="00D76B7C">
      <w:pPr>
        <w:pStyle w:val="Heading1"/>
        <w:spacing w:before="0" w:after="200"/>
        <w:jc w:val="both"/>
        <w:rPr>
          <w:rFonts w:ascii="Calibri" w:hAnsi="Calibri"/>
          <w:color w:val="auto"/>
          <w:sz w:val="24"/>
          <w:u w:val="single"/>
        </w:rPr>
        <w:sectPr w:rsidR="00416B91" w:rsidSect="00F27B7A">
          <w:pgSz w:w="11906" w:h="16838"/>
          <w:pgMar w:top="1134" w:right="1134" w:bottom="1134" w:left="1134" w:header="708" w:footer="708" w:gutter="0"/>
          <w:cols w:space="708"/>
          <w:docGrid w:linePitch="360"/>
        </w:sectPr>
      </w:pPr>
    </w:p>
    <w:p w14:paraId="1FB10AE7" w14:textId="04CA22A2" w:rsidR="00416B91" w:rsidRDefault="00416B91" w:rsidP="00D76B7C">
      <w:pPr>
        <w:pStyle w:val="Heading1"/>
        <w:spacing w:before="0" w:after="200"/>
        <w:jc w:val="both"/>
        <w:rPr>
          <w:rFonts w:ascii="Calibri" w:hAnsi="Calibri"/>
          <w:color w:val="auto"/>
          <w:sz w:val="24"/>
          <w:u w:val="single"/>
        </w:rPr>
      </w:pPr>
      <w:bookmarkStart w:id="21" w:name="_Toc19093869"/>
      <w:r>
        <w:rPr>
          <w:rFonts w:ascii="Calibri" w:hAnsi="Calibri"/>
          <w:color w:val="auto"/>
          <w:sz w:val="24"/>
          <w:u w:val="single"/>
        </w:rPr>
        <w:lastRenderedPageBreak/>
        <w:t>Appendix D: Difficulties encountered when making ERS returns for 2017/18</w:t>
      </w:r>
      <w:bookmarkEnd w:id="21"/>
    </w:p>
    <w:p w14:paraId="1F6415E1" w14:textId="0C6A73CF" w:rsidR="00416B91" w:rsidRPr="00416B91" w:rsidRDefault="00416B91" w:rsidP="00416B91">
      <w:r w:rsidRPr="00F565A7">
        <w:rPr>
          <w:rFonts w:ascii="Calibri" w:hAnsi="Calibri"/>
          <w:noProof/>
          <w:lang w:eastAsia="en-GB"/>
        </w:rPr>
        <mc:AlternateContent>
          <mc:Choice Requires="wps">
            <w:drawing>
              <wp:anchor distT="0" distB="0" distL="114300" distR="114300" simplePos="0" relativeHeight="251663360" behindDoc="0" locked="0" layoutInCell="1" allowOverlap="1" wp14:anchorId="1F58113E" wp14:editId="47ADF4CD">
                <wp:simplePos x="0" y="0"/>
                <wp:positionH relativeFrom="column">
                  <wp:posOffset>-83127</wp:posOffset>
                </wp:positionH>
                <wp:positionV relativeFrom="paragraph">
                  <wp:posOffset>97584</wp:posOffset>
                </wp:positionV>
                <wp:extent cx="6172200" cy="1403985"/>
                <wp:effectExtent l="0" t="0" r="19050" b="2603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3985"/>
                        </a:xfrm>
                        <a:prstGeom prst="rect">
                          <a:avLst/>
                        </a:prstGeom>
                        <a:solidFill>
                          <a:srgbClr val="FFFFFF"/>
                        </a:solidFill>
                        <a:ln w="9525">
                          <a:solidFill>
                            <a:srgbClr val="000000"/>
                          </a:solidFill>
                          <a:miter lim="800000"/>
                          <a:headEnd/>
                          <a:tailEnd/>
                        </a:ln>
                      </wps:spPr>
                      <wps:txbx>
                        <w:txbxContent>
                          <w:p w14:paraId="035E4D80" w14:textId="7DB97E14" w:rsidR="006A5868" w:rsidRDefault="006A5868" w:rsidP="00416B91">
                            <w:pPr>
                              <w:jc w:val="both"/>
                              <w:rPr>
                                <w:rFonts w:ascii="Calibri" w:hAnsi="Calibri"/>
                                <w:b/>
                              </w:rPr>
                            </w:pPr>
                            <w:r w:rsidRPr="00F565A7">
                              <w:rPr>
                                <w:rFonts w:ascii="Calibri" w:hAnsi="Calibri"/>
                                <w:b/>
                              </w:rPr>
                              <w:t xml:space="preserve">Company </w:t>
                            </w:r>
                            <w:r>
                              <w:rPr>
                                <w:rFonts w:ascii="Calibri" w:hAnsi="Calibri"/>
                                <w:b/>
                              </w:rPr>
                              <w:t>J</w:t>
                            </w:r>
                          </w:p>
                          <w:p w14:paraId="3EF2CB11" w14:textId="3489B09C" w:rsidR="006A5868" w:rsidRDefault="006A5868" w:rsidP="00416B91">
                            <w:pPr>
                              <w:spacing w:after="0"/>
                              <w:jc w:val="both"/>
                              <w:rPr>
                                <w:rFonts w:ascii="Calibri" w:hAnsi="Calibri" w:cs="Calibri"/>
                              </w:rPr>
                            </w:pPr>
                            <w:r>
                              <w:rPr>
                                <w:rFonts w:ascii="Calibri" w:hAnsi="Calibri" w:cs="Calibri"/>
                              </w:rPr>
                              <w:t>Company J is a biotech company undertaking research and development in the UK with its head office in Europe. The shares are listed albeit the business is early stage. The company outsources its administrative functions where possible in order to focus on its core business.</w:t>
                            </w:r>
                          </w:p>
                          <w:p w14:paraId="0365100A" w14:textId="77777777" w:rsidR="006A5868" w:rsidRDefault="006A5868" w:rsidP="00416B91">
                            <w:pPr>
                              <w:spacing w:after="0"/>
                              <w:jc w:val="both"/>
                              <w:rPr>
                                <w:rFonts w:ascii="Calibri" w:hAnsi="Calibri" w:cs="Calibri"/>
                              </w:rPr>
                            </w:pPr>
                          </w:p>
                          <w:p w14:paraId="57250056" w14:textId="21492BB6" w:rsidR="006A5868" w:rsidRDefault="006A5868" w:rsidP="00416B91">
                            <w:pPr>
                              <w:spacing w:after="0"/>
                              <w:jc w:val="both"/>
                              <w:rPr>
                                <w:rFonts w:ascii="Calibri" w:hAnsi="Calibri" w:cs="Calibri"/>
                              </w:rPr>
                            </w:pPr>
                            <w:r>
                              <w:rPr>
                                <w:rFonts w:ascii="Calibri" w:hAnsi="Calibri" w:cs="Calibri"/>
                              </w:rPr>
                              <w:t xml:space="preserve">The Company set up an EMI share option plan and was able to register and self-certify the arrangement but required their adviser to guide them through each step of the process. This was a more costly process than would have been the case had the agent been able to simply register the plan on the company’s behalf and have authority to self-certify (in the same was as on notification of the grant of EMI options).   </w:t>
                            </w:r>
                          </w:p>
                          <w:p w14:paraId="418ABFA1" w14:textId="77777777" w:rsidR="006A5868" w:rsidRDefault="006A5868" w:rsidP="00416B91">
                            <w:pPr>
                              <w:spacing w:after="0"/>
                              <w:jc w:val="both"/>
                              <w:rPr>
                                <w:rFonts w:ascii="Calibri" w:hAnsi="Calibri" w:cs="Calibri"/>
                              </w:rPr>
                            </w:pPr>
                          </w:p>
                          <w:p w14:paraId="05E2F241" w14:textId="17BEB2CA" w:rsidR="006A5868" w:rsidRPr="00F565A7" w:rsidRDefault="006A5868" w:rsidP="00416B91">
                            <w:pPr>
                              <w:jc w:val="both"/>
                              <w:rPr>
                                <w:rFonts w:ascii="Calibri" w:hAnsi="Calibri"/>
                                <w:b/>
                              </w:rPr>
                            </w:pPr>
                            <w:r>
                              <w:rPr>
                                <w:rFonts w:ascii="Calibri" w:hAnsi="Calibri" w:cs="Calibri"/>
                              </w:rPr>
                              <w:t>We understand that the agent authorisation code was sent to the company’s offshore head office address but it was not received. The company had to request another adding to the time taken to register the plan. Due to postal delays in the code being delivered, language differences etc. and since the company’s administrative function was in the UK, this process took some weeks. When the code was finally received and processed, the Company was close to the deadline for notifying the grant of the EMI options. This would not have been the case if the agent had been able to register the plan on behalf of the company.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58113E" id="Text Box 5" o:spid="_x0000_s1038" type="#_x0000_t202" style="position:absolute;margin-left:-6.55pt;margin-top:7.7pt;width:486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">
                <v:textbox style="mso-fit-shape-to-text:t">
                  <w:txbxContent>
                    <w:p w14:paraId="035E4D80" w14:textId="7DB97E14" w:rsidR="006A5868" w:rsidRDefault="006A5868" w:rsidP="00416B91">
                      <w:pPr>
                        <w:jc w:val="both"/>
                        <w:rPr>
                          <w:rFonts w:ascii="Calibri" w:hAnsi="Calibri"/>
                          <w:b/>
                        </w:rPr>
                      </w:pPr>
                      <w:r w:rsidRPr="00F565A7">
                        <w:rPr>
                          <w:rFonts w:ascii="Calibri" w:hAnsi="Calibri"/>
                          <w:b/>
                        </w:rPr>
                        <w:t xml:space="preserve">Company </w:t>
                      </w:r>
                      <w:r>
                        <w:rPr>
                          <w:rFonts w:ascii="Calibri" w:hAnsi="Calibri"/>
                          <w:b/>
                        </w:rPr>
                        <w:t>J</w:t>
                      </w:r>
                    </w:p>
                    <w:p w14:paraId="3EF2CB11" w14:textId="3489B09C" w:rsidR="006A5868" w:rsidRDefault="006A5868" w:rsidP="00416B91">
                      <w:pPr>
                        <w:spacing w:after="0"/>
                        <w:jc w:val="both"/>
                        <w:rPr>
                          <w:rFonts w:ascii="Calibri" w:hAnsi="Calibri" w:cs="Calibri"/>
                        </w:rPr>
                      </w:pPr>
                      <w:r>
                        <w:rPr>
                          <w:rFonts w:ascii="Calibri" w:hAnsi="Calibri" w:cs="Calibri"/>
                        </w:rPr>
                        <w:t>Company J is a biotech company undertaking research and development in the UK with its head office in Europe. The shares are listed albeit the business is early stage. The company outsources its administrative functions where possible in order to focus on its core business.</w:t>
                      </w:r>
                    </w:p>
                    <w:p w14:paraId="0365100A" w14:textId="77777777" w:rsidR="006A5868" w:rsidRDefault="006A5868" w:rsidP="00416B91">
                      <w:pPr>
                        <w:spacing w:after="0"/>
                        <w:jc w:val="both"/>
                        <w:rPr>
                          <w:rFonts w:ascii="Calibri" w:hAnsi="Calibri" w:cs="Calibri"/>
                        </w:rPr>
                      </w:pPr>
                    </w:p>
                    <w:p w14:paraId="57250056" w14:textId="21492BB6" w:rsidR="006A5868" w:rsidRDefault="006A5868" w:rsidP="00416B91">
                      <w:pPr>
                        <w:spacing w:after="0"/>
                        <w:jc w:val="both"/>
                        <w:rPr>
                          <w:rFonts w:ascii="Calibri" w:hAnsi="Calibri" w:cs="Calibri"/>
                        </w:rPr>
                      </w:pPr>
                      <w:r>
                        <w:rPr>
                          <w:rFonts w:ascii="Calibri" w:hAnsi="Calibri" w:cs="Calibri"/>
                        </w:rPr>
                        <w:t xml:space="preserve">The Company set up an EMI share option plan and was able to register and self-certify the arrangement but required their adviser to guide them through each step of the process. This was a more costly process than would have been the case had the agent been able to simply register the plan on the company’s behalf and have authority to self-certify (in the same was as on notification of the grant of EMI options).   </w:t>
                      </w:r>
                    </w:p>
                    <w:p w14:paraId="418ABFA1" w14:textId="77777777" w:rsidR="006A5868" w:rsidRDefault="006A5868" w:rsidP="00416B91">
                      <w:pPr>
                        <w:spacing w:after="0"/>
                        <w:jc w:val="both"/>
                        <w:rPr>
                          <w:rFonts w:ascii="Calibri" w:hAnsi="Calibri" w:cs="Calibri"/>
                        </w:rPr>
                      </w:pPr>
                    </w:p>
                    <w:p w14:paraId="05E2F241" w14:textId="17BEB2CA" w:rsidR="006A5868" w:rsidRPr="00F565A7" w:rsidRDefault="006A5868" w:rsidP="00416B91">
                      <w:pPr>
                        <w:jc w:val="both"/>
                        <w:rPr>
                          <w:rFonts w:ascii="Calibri" w:hAnsi="Calibri"/>
                          <w:b/>
                        </w:rPr>
                      </w:pPr>
                      <w:r>
                        <w:rPr>
                          <w:rFonts w:ascii="Calibri" w:hAnsi="Calibri" w:cs="Calibri"/>
                        </w:rPr>
                        <w:t>We understand that the agent authorisation code was sent to the company’s offshore head office address but it was not received. The company had to request another adding to the time taken to register the plan. Due to postal delays in the code being delivered, language differences etc. and since the company’s administrative function was in the UK, this process took some weeks. When the code was finally received and processed, the Company was close to the deadline for notifying the grant of the EMI options. This would not have been the case if the agent had been able to register the plan on behalf of the company.</w:t>
                      </w:r>
                    </w:p>
                  </w:txbxContent>
                </v:textbox>
              </v:shape>
            </w:pict>
          </mc:Fallback>
        </mc:AlternateContent>
      </w:r>
    </w:p>
    <w:p w14:paraId="15CC2A6B" w14:textId="1A1756D2" w:rsidR="00416B91" w:rsidRPr="00416B91" w:rsidRDefault="00416B91" w:rsidP="00416B91"/>
    <w:p w14:paraId="68F1F4C8" w14:textId="77777777" w:rsidR="00416B91" w:rsidRPr="00416B91" w:rsidRDefault="00416B91" w:rsidP="00416B91"/>
    <w:p w14:paraId="6DF2D2E0" w14:textId="77777777" w:rsidR="00416B91" w:rsidRPr="00416B91" w:rsidRDefault="00416B91" w:rsidP="00416B91"/>
    <w:p w14:paraId="29BAC04F" w14:textId="77777777" w:rsidR="00416B91" w:rsidRPr="00416B91" w:rsidRDefault="00416B91" w:rsidP="00416B91"/>
    <w:p w14:paraId="766E8E4B" w14:textId="7C704CCB" w:rsidR="00416B91" w:rsidRDefault="00416B91" w:rsidP="00416B91"/>
    <w:p w14:paraId="7B3F0D7D" w14:textId="44E7D493" w:rsidR="00416B91" w:rsidRDefault="00416B91" w:rsidP="00416B91">
      <w:pPr>
        <w:tabs>
          <w:tab w:val="left" w:pos="1384"/>
        </w:tabs>
      </w:pPr>
      <w:r>
        <w:tab/>
      </w:r>
    </w:p>
    <w:p w14:paraId="5233439E" w14:textId="331E221A" w:rsidR="00CB2B32" w:rsidRDefault="00416B91" w:rsidP="00416B91">
      <w:pPr>
        <w:tabs>
          <w:tab w:val="left" w:pos="1384"/>
        </w:tabs>
      </w:pPr>
      <w:r>
        <w:tab/>
      </w:r>
    </w:p>
    <w:p w14:paraId="08982C56" w14:textId="260F16E3" w:rsidR="00416B91" w:rsidRDefault="00416B91" w:rsidP="00416B91">
      <w:pPr>
        <w:tabs>
          <w:tab w:val="left" w:pos="1384"/>
        </w:tabs>
      </w:pPr>
      <w:r w:rsidRPr="00F565A7">
        <w:rPr>
          <w:rFonts w:ascii="Calibri" w:hAnsi="Calibri"/>
          <w:noProof/>
          <w:lang w:eastAsia="en-GB"/>
        </w:rPr>
        <mc:AlternateContent>
          <mc:Choice Requires="wps">
            <w:drawing>
              <wp:anchor distT="0" distB="0" distL="114300" distR="114300" simplePos="0" relativeHeight="251664384" behindDoc="0" locked="0" layoutInCell="1" allowOverlap="1" wp14:anchorId="0CC4DCB6" wp14:editId="77953A0E">
                <wp:simplePos x="0" y="0"/>
                <wp:positionH relativeFrom="column">
                  <wp:posOffset>-78822</wp:posOffset>
                </wp:positionH>
                <wp:positionV relativeFrom="paragraph">
                  <wp:posOffset>1595681</wp:posOffset>
                </wp:positionV>
                <wp:extent cx="6172200" cy="3301340"/>
                <wp:effectExtent l="0" t="0" r="19050" b="1397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3301340"/>
                        </a:xfrm>
                        <a:prstGeom prst="rect">
                          <a:avLst/>
                        </a:prstGeom>
                        <a:solidFill>
                          <a:srgbClr val="FFFFFF"/>
                        </a:solidFill>
                        <a:ln w="9525">
                          <a:solidFill>
                            <a:srgbClr val="000000"/>
                          </a:solidFill>
                          <a:miter lim="800000"/>
                          <a:headEnd/>
                          <a:tailEnd/>
                        </a:ln>
                      </wps:spPr>
                      <wps:txbx>
                        <w:txbxContent>
                          <w:p w14:paraId="7E9826A5" w14:textId="3C9CE70D" w:rsidR="006A5868" w:rsidRPr="00F565A7" w:rsidRDefault="006A5868" w:rsidP="00416B91">
                            <w:pPr>
                              <w:jc w:val="both"/>
                              <w:rPr>
                                <w:rFonts w:ascii="Calibri" w:hAnsi="Calibri"/>
                                <w:b/>
                              </w:rPr>
                            </w:pPr>
                            <w:r w:rsidRPr="00F565A7">
                              <w:rPr>
                                <w:rFonts w:ascii="Calibri" w:hAnsi="Calibri"/>
                                <w:b/>
                              </w:rPr>
                              <w:t xml:space="preserve">Company </w:t>
                            </w:r>
                            <w:r>
                              <w:rPr>
                                <w:rFonts w:ascii="Calibri" w:hAnsi="Calibri"/>
                                <w:b/>
                              </w:rPr>
                              <w:t>K</w:t>
                            </w:r>
                          </w:p>
                          <w:p w14:paraId="17741B35" w14:textId="0E60E99D" w:rsidR="006A5868" w:rsidRDefault="006A5868" w:rsidP="00416B91">
                            <w:pPr>
                              <w:spacing w:after="0"/>
                              <w:jc w:val="both"/>
                              <w:rPr>
                                <w:rFonts w:ascii="Calibri" w:hAnsi="Calibri" w:cs="Calibri"/>
                              </w:rPr>
                            </w:pPr>
                            <w:r>
                              <w:rPr>
                                <w:rFonts w:ascii="Calibri" w:hAnsi="Calibri" w:cs="Calibri"/>
                              </w:rPr>
                              <w:t xml:space="preserve">Company K is a US headquartered global technology company, which had operated a CSOP for a number of years for its UK employees. The company was dual listed.  No options had been granted since 2014/15 and from 2017/18 there were no subsisting options and no plans to make any further grants.  Therefore the company wished to close the scheme. An agent had been making annual returns on behalf of the company. </w:t>
                            </w:r>
                          </w:p>
                          <w:p w14:paraId="5C447813" w14:textId="77777777" w:rsidR="006A5868" w:rsidRDefault="006A5868" w:rsidP="00416B91">
                            <w:pPr>
                              <w:spacing w:after="0"/>
                              <w:jc w:val="both"/>
                              <w:rPr>
                                <w:rFonts w:ascii="Calibri" w:hAnsi="Calibri" w:cs="Calibri"/>
                              </w:rPr>
                            </w:pPr>
                          </w:p>
                          <w:p w14:paraId="49BF571B" w14:textId="0C18EDE6" w:rsidR="006A5868" w:rsidRDefault="006A5868" w:rsidP="00416B91">
                            <w:pPr>
                              <w:spacing w:after="0"/>
                              <w:jc w:val="both"/>
                              <w:rPr>
                                <w:rFonts w:ascii="Calibri" w:hAnsi="Calibri" w:cs="Calibri"/>
                              </w:rPr>
                            </w:pPr>
                            <w:r>
                              <w:rPr>
                                <w:rFonts w:ascii="Calibri" w:hAnsi="Calibri" w:cs="Calibri"/>
                              </w:rPr>
                              <w:t xml:space="preserve">Due to staff changes in the US where the share plans were administered, the company was unable to locate its login details to close the scheme and asked the agent to do so on its behalf. The agent was unable to do so. The company wrote to HMRC and asked them to close the scheme.  HMRC would not do so and required that this be done via the online portal </w:t>
                            </w:r>
                          </w:p>
                          <w:p w14:paraId="4C7D775B" w14:textId="77777777" w:rsidR="006A5868" w:rsidRDefault="006A5868" w:rsidP="00416B91">
                            <w:pPr>
                              <w:spacing w:after="0"/>
                              <w:jc w:val="both"/>
                              <w:rPr>
                                <w:rFonts w:ascii="Calibri" w:hAnsi="Calibri" w:cs="Calibri"/>
                              </w:rPr>
                            </w:pPr>
                          </w:p>
                          <w:p w14:paraId="0458C204" w14:textId="717BEDB5" w:rsidR="006A5868" w:rsidRDefault="006A5868" w:rsidP="00416B91">
                            <w:pPr>
                              <w:spacing w:after="0"/>
                              <w:jc w:val="both"/>
                              <w:rPr>
                                <w:rFonts w:ascii="Calibri" w:hAnsi="Calibri" w:cs="Calibri"/>
                              </w:rPr>
                            </w:pPr>
                            <w:r>
                              <w:rPr>
                                <w:rFonts w:ascii="Calibri" w:hAnsi="Calibri" w:cs="Calibri"/>
                              </w:rPr>
                              <w:t>New login details will have to be requested. This has been very time consuming process for something which should be a very simple exercise for an agent to undertake and an additional nil annual return has had to be filed as a result.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C4DCB6" id="Text Box 12" o:spid="_x0000_s1039" type="#_x0000_t202" style="position:absolute;margin-left:-6.2pt;margin-top:125.65pt;width:486pt;height:25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">
                <v:textbox>
                  <w:txbxContent>
                    <w:p w14:paraId="7E9826A5" w14:textId="3C9CE70D" w:rsidR="006A5868" w:rsidRPr="00F565A7" w:rsidRDefault="006A5868" w:rsidP="00416B91">
                      <w:pPr>
                        <w:jc w:val="both"/>
                        <w:rPr>
                          <w:rFonts w:ascii="Calibri" w:hAnsi="Calibri"/>
                          <w:b/>
                        </w:rPr>
                      </w:pPr>
                      <w:r w:rsidRPr="00F565A7">
                        <w:rPr>
                          <w:rFonts w:ascii="Calibri" w:hAnsi="Calibri"/>
                          <w:b/>
                        </w:rPr>
                        <w:t xml:space="preserve">Company </w:t>
                      </w:r>
                      <w:r>
                        <w:rPr>
                          <w:rFonts w:ascii="Calibri" w:hAnsi="Calibri"/>
                          <w:b/>
                        </w:rPr>
                        <w:t>K</w:t>
                      </w:r>
                    </w:p>
                    <w:p w14:paraId="17741B35" w14:textId="0E60E99D" w:rsidR="006A5868" w:rsidRDefault="006A5868" w:rsidP="00416B91">
                      <w:pPr>
                        <w:spacing w:after="0"/>
                        <w:jc w:val="both"/>
                        <w:rPr>
                          <w:rFonts w:ascii="Calibri" w:hAnsi="Calibri" w:cs="Calibri"/>
                        </w:rPr>
                      </w:pPr>
                      <w:r>
                        <w:rPr>
                          <w:rFonts w:ascii="Calibri" w:hAnsi="Calibri" w:cs="Calibri"/>
                        </w:rPr>
                        <w:t xml:space="preserve">Company K is a US headquartered global technology company, which had operated a CSOP for a number of years for its UK employees. The company was dual listed.  No options had been granted since 2014/15 and from 2017/18 there were no subsisting options and no plans to make any further grants.  Therefore the company wished to close the scheme. An agent had been making annual returns on behalf of the company. </w:t>
                      </w:r>
                    </w:p>
                    <w:p w14:paraId="5C447813" w14:textId="77777777" w:rsidR="006A5868" w:rsidRDefault="006A5868" w:rsidP="00416B91">
                      <w:pPr>
                        <w:spacing w:after="0"/>
                        <w:jc w:val="both"/>
                        <w:rPr>
                          <w:rFonts w:ascii="Calibri" w:hAnsi="Calibri" w:cs="Calibri"/>
                        </w:rPr>
                      </w:pPr>
                    </w:p>
                    <w:p w14:paraId="49BF571B" w14:textId="0C18EDE6" w:rsidR="006A5868" w:rsidRDefault="006A5868" w:rsidP="00416B91">
                      <w:pPr>
                        <w:spacing w:after="0"/>
                        <w:jc w:val="both"/>
                        <w:rPr>
                          <w:rFonts w:ascii="Calibri" w:hAnsi="Calibri" w:cs="Calibri"/>
                        </w:rPr>
                      </w:pPr>
                      <w:r>
                        <w:rPr>
                          <w:rFonts w:ascii="Calibri" w:hAnsi="Calibri" w:cs="Calibri"/>
                        </w:rPr>
                        <w:t xml:space="preserve">Due to staff changes in the US where the share plans were administered, the company was unable to locate its login details to close the scheme and asked the agent to do so on its behalf. The agent was unable to do so. The company wrote to HMRC and asked them to close the scheme.  HMRC would not do so and required that this be done via the online portal </w:t>
                      </w:r>
                    </w:p>
                    <w:p w14:paraId="4C7D775B" w14:textId="77777777" w:rsidR="006A5868" w:rsidRDefault="006A5868" w:rsidP="00416B91">
                      <w:pPr>
                        <w:spacing w:after="0"/>
                        <w:jc w:val="both"/>
                        <w:rPr>
                          <w:rFonts w:ascii="Calibri" w:hAnsi="Calibri" w:cs="Calibri"/>
                        </w:rPr>
                      </w:pPr>
                    </w:p>
                    <w:p w14:paraId="0458C204" w14:textId="717BEDB5" w:rsidR="006A5868" w:rsidRDefault="006A5868" w:rsidP="00416B91">
                      <w:pPr>
                        <w:spacing w:after="0"/>
                        <w:jc w:val="both"/>
                        <w:rPr>
                          <w:rFonts w:ascii="Calibri" w:hAnsi="Calibri" w:cs="Calibri"/>
                        </w:rPr>
                      </w:pPr>
                      <w:r>
                        <w:rPr>
                          <w:rFonts w:ascii="Calibri" w:hAnsi="Calibri" w:cs="Calibri"/>
                        </w:rPr>
                        <w:t>New login details will have to be requested. This has been very time consuming process for something which should be a very simple exercise for an agent to undertake and an additional nil annual return has had to be filed as a result.</w:t>
                      </w:r>
                    </w:p>
                  </w:txbxContent>
                </v:textbox>
              </v:shape>
            </w:pict>
          </mc:Fallback>
        </mc:AlternateContent>
      </w:r>
    </w:p>
    <w:p w14:paraId="50E98B26" w14:textId="2813C25F" w:rsidR="00416B91" w:rsidRPr="00416B91" w:rsidRDefault="00416B91" w:rsidP="00416B91">
      <w:pPr>
        <w:tabs>
          <w:tab w:val="left" w:pos="1384"/>
        </w:tabs>
        <w:sectPr w:rsidR="00416B91" w:rsidRPr="00416B91" w:rsidSect="00F27B7A">
          <w:pgSz w:w="11906" w:h="16838"/>
          <w:pgMar w:top="1134" w:right="1134" w:bottom="1134" w:left="1134" w:header="708" w:footer="708" w:gutter="0"/>
          <w:cols w:space="708"/>
          <w:docGrid w:linePitch="360"/>
        </w:sectPr>
      </w:pPr>
    </w:p>
    <w:p w14:paraId="65FC0560" w14:textId="4598F8F5" w:rsidR="00630A39" w:rsidRDefault="00F72A74" w:rsidP="00D76B7C">
      <w:pPr>
        <w:pStyle w:val="Heading1"/>
        <w:spacing w:before="0" w:after="200"/>
        <w:jc w:val="both"/>
        <w:rPr>
          <w:rFonts w:ascii="Calibri" w:hAnsi="Calibri"/>
          <w:color w:val="auto"/>
          <w:sz w:val="24"/>
          <w:u w:val="single"/>
        </w:rPr>
      </w:pPr>
      <w:bookmarkStart w:id="22" w:name="_Toc19093870"/>
      <w:r w:rsidRPr="00EA325E">
        <w:rPr>
          <w:rFonts w:ascii="Calibri" w:hAnsi="Calibri"/>
          <w:color w:val="auto"/>
          <w:sz w:val="24"/>
          <w:u w:val="single"/>
        </w:rPr>
        <w:lastRenderedPageBreak/>
        <w:t xml:space="preserve">Appendix </w:t>
      </w:r>
      <w:r w:rsidR="00416B91">
        <w:rPr>
          <w:rFonts w:ascii="Calibri" w:hAnsi="Calibri"/>
          <w:color w:val="auto"/>
          <w:sz w:val="24"/>
          <w:u w:val="single"/>
        </w:rPr>
        <w:t>E</w:t>
      </w:r>
      <w:r w:rsidR="00D76B7C" w:rsidRPr="00EA325E">
        <w:rPr>
          <w:rFonts w:ascii="Calibri" w:hAnsi="Calibri"/>
          <w:color w:val="auto"/>
          <w:sz w:val="24"/>
          <w:u w:val="single"/>
        </w:rPr>
        <w:t>:</w:t>
      </w:r>
      <w:r w:rsidRPr="00EA325E">
        <w:rPr>
          <w:rFonts w:ascii="Calibri" w:hAnsi="Calibri"/>
          <w:color w:val="auto"/>
          <w:sz w:val="24"/>
          <w:u w:val="single"/>
        </w:rPr>
        <w:t xml:space="preserve"> </w:t>
      </w:r>
      <w:r w:rsidR="00A220BB" w:rsidRPr="00EA325E">
        <w:rPr>
          <w:rFonts w:ascii="Calibri" w:hAnsi="Calibri"/>
          <w:color w:val="auto"/>
          <w:sz w:val="24"/>
          <w:u w:val="single"/>
        </w:rPr>
        <w:t xml:space="preserve">The difficulties </w:t>
      </w:r>
      <w:r w:rsidR="00827E19">
        <w:rPr>
          <w:rFonts w:ascii="Calibri" w:hAnsi="Calibri"/>
          <w:color w:val="auto"/>
          <w:sz w:val="24"/>
          <w:u w:val="single"/>
        </w:rPr>
        <w:t>faced</w:t>
      </w:r>
      <w:r w:rsidR="00827E19" w:rsidRPr="00EA325E">
        <w:rPr>
          <w:rFonts w:ascii="Calibri" w:hAnsi="Calibri"/>
          <w:color w:val="auto"/>
          <w:sz w:val="24"/>
          <w:u w:val="single"/>
        </w:rPr>
        <w:t xml:space="preserve"> </w:t>
      </w:r>
      <w:r w:rsidR="00A220BB" w:rsidRPr="00EA325E">
        <w:rPr>
          <w:rFonts w:ascii="Calibri" w:hAnsi="Calibri"/>
          <w:color w:val="auto"/>
          <w:sz w:val="24"/>
          <w:u w:val="single"/>
        </w:rPr>
        <w:t>by small and mid-size quoted companies applying transfer pricing rules</w:t>
      </w:r>
      <w:bookmarkEnd w:id="22"/>
    </w:p>
    <w:p w14:paraId="10671C54" w14:textId="77777777" w:rsidR="00F72A74" w:rsidRDefault="00A220BB" w:rsidP="00D76B7C">
      <w:pPr>
        <w:spacing w:after="0"/>
        <w:jc w:val="both"/>
      </w:pPr>
      <w:r>
        <w:rPr>
          <w:noProof/>
          <w:lang w:eastAsia="en-GB"/>
        </w:rPr>
        <mc:AlternateContent>
          <mc:Choice Requires="wps">
            <w:drawing>
              <wp:anchor distT="0" distB="0" distL="114300" distR="114300" simplePos="0" relativeHeight="251653120" behindDoc="0" locked="0" layoutInCell="1" allowOverlap="1" wp14:anchorId="0976820E" wp14:editId="32E12645">
                <wp:simplePos x="0" y="0"/>
                <wp:positionH relativeFrom="column">
                  <wp:posOffset>-42223</wp:posOffset>
                </wp:positionH>
                <wp:positionV relativeFrom="paragraph">
                  <wp:posOffset>90170</wp:posOffset>
                </wp:positionV>
                <wp:extent cx="6198235" cy="1403985"/>
                <wp:effectExtent l="0" t="0" r="12065" b="158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235" cy="1403985"/>
                        </a:xfrm>
                        <a:prstGeom prst="rect">
                          <a:avLst/>
                        </a:prstGeom>
                        <a:solidFill>
                          <a:srgbClr val="FFFFFF"/>
                        </a:solidFill>
                        <a:ln w="9525">
                          <a:solidFill>
                            <a:srgbClr val="000000"/>
                          </a:solidFill>
                          <a:miter lim="800000"/>
                          <a:headEnd/>
                          <a:tailEnd/>
                        </a:ln>
                      </wps:spPr>
                      <wps:txbx>
                        <w:txbxContent>
                          <w:p w14:paraId="573E0528" w14:textId="672C8444" w:rsidR="006A5868" w:rsidRPr="00FB77C3" w:rsidRDefault="006A5868" w:rsidP="00A220BB">
                            <w:pPr>
                              <w:jc w:val="both"/>
                              <w:rPr>
                                <w:rFonts w:ascii="Calibri" w:hAnsi="Calibri" w:cs="Calibri"/>
                                <w:b/>
                              </w:rPr>
                            </w:pPr>
                            <w:r w:rsidRPr="00FB77C3">
                              <w:rPr>
                                <w:rFonts w:ascii="Calibri" w:hAnsi="Calibri" w:cs="Calibri"/>
                                <w:b/>
                              </w:rPr>
                              <w:t xml:space="preserve">Company </w:t>
                            </w:r>
                            <w:r>
                              <w:rPr>
                                <w:rFonts w:ascii="Calibri" w:hAnsi="Calibri" w:cs="Calibri"/>
                                <w:b/>
                              </w:rPr>
                              <w:t>L</w:t>
                            </w:r>
                          </w:p>
                          <w:p w14:paraId="0158C553" w14:textId="77777777" w:rsidR="006A5868" w:rsidRPr="00FB77C3" w:rsidRDefault="006A5868" w:rsidP="00A220BB">
                            <w:pPr>
                              <w:spacing w:after="0"/>
                              <w:jc w:val="both"/>
                              <w:rPr>
                                <w:rFonts w:ascii="Calibri" w:hAnsi="Calibri" w:cs="Calibri"/>
                              </w:rPr>
                            </w:pPr>
                            <w:r w:rsidRPr="00FB77C3">
                              <w:rPr>
                                <w:rFonts w:ascii="Calibri" w:hAnsi="Calibri" w:cs="Calibri"/>
                                <w:b/>
                              </w:rPr>
                              <w:t>Number of Employees:</w:t>
                            </w:r>
                            <w:r w:rsidRPr="00FB77C3">
                              <w:rPr>
                                <w:rFonts w:ascii="Calibri" w:hAnsi="Calibri" w:cs="Calibri"/>
                              </w:rPr>
                              <w:t xml:space="preserve"> 500</w:t>
                            </w:r>
                          </w:p>
                          <w:p w14:paraId="4596A2F2" w14:textId="77777777" w:rsidR="006A5868" w:rsidRPr="00FB77C3" w:rsidRDefault="006A5868" w:rsidP="00A220BB">
                            <w:pPr>
                              <w:spacing w:after="0"/>
                              <w:jc w:val="both"/>
                              <w:rPr>
                                <w:rFonts w:ascii="Calibri" w:hAnsi="Calibri" w:cs="Calibri"/>
                              </w:rPr>
                            </w:pPr>
                            <w:r w:rsidRPr="00FB77C3">
                              <w:rPr>
                                <w:rFonts w:ascii="Calibri" w:hAnsi="Calibri" w:cs="Calibri"/>
                                <w:b/>
                              </w:rPr>
                              <w:t>Turnover:</w:t>
                            </w:r>
                            <w:r w:rsidRPr="00FB77C3">
                              <w:rPr>
                                <w:rFonts w:ascii="Calibri" w:hAnsi="Calibri" w:cs="Calibri"/>
                              </w:rPr>
                              <w:t xml:space="preserve"> £100m</w:t>
                            </w:r>
                          </w:p>
                          <w:p w14:paraId="3EF5F4AF" w14:textId="77777777" w:rsidR="006A5868" w:rsidRPr="00FB77C3" w:rsidRDefault="006A5868" w:rsidP="00A220BB">
                            <w:pPr>
                              <w:spacing w:after="0"/>
                              <w:jc w:val="both"/>
                              <w:rPr>
                                <w:rFonts w:ascii="Calibri" w:hAnsi="Calibri" w:cs="Calibri"/>
                              </w:rPr>
                            </w:pPr>
                            <w:r w:rsidRPr="00FB77C3">
                              <w:rPr>
                                <w:rFonts w:ascii="Calibri" w:hAnsi="Calibri" w:cs="Calibri"/>
                                <w:b/>
                              </w:rPr>
                              <w:t>Market Cap:</w:t>
                            </w:r>
                            <w:r w:rsidRPr="00FB77C3">
                              <w:rPr>
                                <w:rFonts w:ascii="Calibri" w:hAnsi="Calibri" w:cs="Calibri"/>
                              </w:rPr>
                              <w:t xml:space="preserve"> £40m</w:t>
                            </w:r>
                          </w:p>
                          <w:p w14:paraId="7CB8A98C" w14:textId="77777777" w:rsidR="006A5868" w:rsidRPr="00FB77C3" w:rsidRDefault="006A5868" w:rsidP="00A220BB">
                            <w:pPr>
                              <w:spacing w:after="0"/>
                              <w:jc w:val="both"/>
                              <w:rPr>
                                <w:rFonts w:ascii="Calibri" w:hAnsi="Calibri" w:cs="Calibri"/>
                              </w:rPr>
                            </w:pPr>
                          </w:p>
                          <w:p w14:paraId="534D671B" w14:textId="37BD9796" w:rsidR="006A5868" w:rsidRDefault="006A5868" w:rsidP="00A220BB">
                            <w:pPr>
                              <w:spacing w:after="0"/>
                              <w:jc w:val="both"/>
                              <w:rPr>
                                <w:rFonts w:ascii="Calibri" w:hAnsi="Calibri" w:cs="Calibri"/>
                              </w:rPr>
                            </w:pPr>
                            <w:r w:rsidRPr="00FB77C3">
                              <w:rPr>
                                <w:rFonts w:ascii="Calibri" w:hAnsi="Calibri" w:cs="Calibri"/>
                              </w:rPr>
                              <w:t xml:space="preserve">Company </w:t>
                            </w:r>
                            <w:r>
                              <w:rPr>
                                <w:rFonts w:ascii="Calibri" w:hAnsi="Calibri" w:cs="Calibri"/>
                              </w:rPr>
                              <w:t>L</w:t>
                            </w:r>
                            <w:r w:rsidRPr="00FB77C3">
                              <w:rPr>
                                <w:rFonts w:ascii="Calibri" w:hAnsi="Calibri" w:cs="Calibri"/>
                              </w:rPr>
                              <w:t xml:space="preserve">’s group has only UK to UK intercompany transactions, yet has to spend internal time and professional fees on UK transfer pricing documentation, which generates no benefit to the group or UK Exchequer. </w:t>
                            </w:r>
                          </w:p>
                          <w:p w14:paraId="5B794B67" w14:textId="77777777" w:rsidR="006A5868" w:rsidRPr="00FB77C3" w:rsidRDefault="006A5868" w:rsidP="00A220BB">
                            <w:pPr>
                              <w:spacing w:after="0"/>
                              <w:jc w:val="both"/>
                              <w:rPr>
                                <w:rFonts w:ascii="Calibri" w:hAnsi="Calibri" w:cs="Calibri"/>
                              </w:rPr>
                            </w:pPr>
                          </w:p>
                          <w:p w14:paraId="574E8B07" w14:textId="77777777" w:rsidR="006A5868" w:rsidRPr="00FB77C3" w:rsidRDefault="006A5868" w:rsidP="00A220BB">
                            <w:pPr>
                              <w:spacing w:after="0"/>
                              <w:jc w:val="both"/>
                              <w:rPr>
                                <w:rFonts w:ascii="Calibri" w:hAnsi="Calibri" w:cs="Calibri"/>
                              </w:rPr>
                            </w:pPr>
                            <w:r w:rsidRPr="00FB77C3">
                              <w:rPr>
                                <w:rFonts w:ascii="Calibri" w:hAnsi="Calibri" w:cs="Calibri"/>
                                <w:b/>
                              </w:rPr>
                              <w:t>Estimated extra cost to company in management time:</w:t>
                            </w:r>
                            <w:r w:rsidRPr="00FB77C3">
                              <w:rPr>
                                <w:rFonts w:ascii="Calibri" w:hAnsi="Calibri" w:cs="Calibri"/>
                              </w:rPr>
                              <w:t xml:space="preserve"> £20,000</w:t>
                            </w:r>
                          </w:p>
                          <w:p w14:paraId="7B3878DC" w14:textId="77777777" w:rsidR="006A5868" w:rsidRPr="00FB77C3" w:rsidRDefault="006A5868" w:rsidP="00A220BB">
                            <w:pPr>
                              <w:spacing w:after="0"/>
                              <w:jc w:val="both"/>
                              <w:rPr>
                                <w:rFonts w:ascii="Calibri" w:hAnsi="Calibri" w:cs="Calibri"/>
                              </w:rPr>
                            </w:pPr>
                            <w:r w:rsidRPr="00FB77C3">
                              <w:rPr>
                                <w:rFonts w:ascii="Calibri" w:hAnsi="Calibri" w:cs="Calibri"/>
                                <w:b/>
                              </w:rPr>
                              <w:t>Estimated extra cost to company in advisor fees</w:t>
                            </w:r>
                            <w:r>
                              <w:rPr>
                                <w:rFonts w:ascii="Calibri" w:hAnsi="Calibri" w:cs="Calibri"/>
                              </w:rPr>
                              <w:t>: £20,000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76820E" id="_x0000_s1040" type="#_x0000_t202" style="position:absolute;left:0;text-align:left;margin-left:-3.3pt;margin-top:7.1pt;width:488.05pt;height:110.55pt;z-index:2516531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">
                <v:textbox style="mso-fit-shape-to-text:t">
                  <w:txbxContent>
                    <w:p w14:paraId="573E0528" w14:textId="672C8444" w:rsidR="006A5868" w:rsidRPr="00FB77C3" w:rsidRDefault="006A5868" w:rsidP="00A220BB">
                      <w:pPr>
                        <w:jc w:val="both"/>
                        <w:rPr>
                          <w:rFonts w:ascii="Calibri" w:hAnsi="Calibri" w:cs="Calibri"/>
                          <w:b/>
                        </w:rPr>
                      </w:pPr>
                      <w:r w:rsidRPr="00FB77C3">
                        <w:rPr>
                          <w:rFonts w:ascii="Calibri" w:hAnsi="Calibri" w:cs="Calibri"/>
                          <w:b/>
                        </w:rPr>
                        <w:t xml:space="preserve">Company </w:t>
                      </w:r>
                      <w:r>
                        <w:rPr>
                          <w:rFonts w:ascii="Calibri" w:hAnsi="Calibri" w:cs="Calibri"/>
                          <w:b/>
                        </w:rPr>
                        <w:t>L</w:t>
                      </w:r>
                    </w:p>
                    <w:p w14:paraId="0158C553" w14:textId="77777777" w:rsidR="006A5868" w:rsidRPr="00FB77C3" w:rsidRDefault="006A5868" w:rsidP="00A220BB">
                      <w:pPr>
                        <w:spacing w:after="0"/>
                        <w:jc w:val="both"/>
                        <w:rPr>
                          <w:rFonts w:ascii="Calibri" w:hAnsi="Calibri" w:cs="Calibri"/>
                        </w:rPr>
                      </w:pPr>
                      <w:r w:rsidRPr="00FB77C3">
                        <w:rPr>
                          <w:rFonts w:ascii="Calibri" w:hAnsi="Calibri" w:cs="Calibri"/>
                          <w:b/>
                        </w:rPr>
                        <w:t>Number of Employees:</w:t>
                      </w:r>
                      <w:r w:rsidRPr="00FB77C3">
                        <w:rPr>
                          <w:rFonts w:ascii="Calibri" w:hAnsi="Calibri" w:cs="Calibri"/>
                        </w:rPr>
                        <w:t xml:space="preserve"> 500</w:t>
                      </w:r>
                    </w:p>
                    <w:p w14:paraId="4596A2F2" w14:textId="77777777" w:rsidR="006A5868" w:rsidRPr="00FB77C3" w:rsidRDefault="006A5868" w:rsidP="00A220BB">
                      <w:pPr>
                        <w:spacing w:after="0"/>
                        <w:jc w:val="both"/>
                        <w:rPr>
                          <w:rFonts w:ascii="Calibri" w:hAnsi="Calibri" w:cs="Calibri"/>
                        </w:rPr>
                      </w:pPr>
                      <w:r w:rsidRPr="00FB77C3">
                        <w:rPr>
                          <w:rFonts w:ascii="Calibri" w:hAnsi="Calibri" w:cs="Calibri"/>
                          <w:b/>
                        </w:rPr>
                        <w:t>Turnover:</w:t>
                      </w:r>
                      <w:r w:rsidRPr="00FB77C3">
                        <w:rPr>
                          <w:rFonts w:ascii="Calibri" w:hAnsi="Calibri" w:cs="Calibri"/>
                        </w:rPr>
                        <w:t xml:space="preserve"> £100m</w:t>
                      </w:r>
                    </w:p>
                    <w:p w14:paraId="3EF5F4AF" w14:textId="77777777" w:rsidR="006A5868" w:rsidRPr="00FB77C3" w:rsidRDefault="006A5868" w:rsidP="00A220BB">
                      <w:pPr>
                        <w:spacing w:after="0"/>
                        <w:jc w:val="both"/>
                        <w:rPr>
                          <w:rFonts w:ascii="Calibri" w:hAnsi="Calibri" w:cs="Calibri"/>
                        </w:rPr>
                      </w:pPr>
                      <w:r w:rsidRPr="00FB77C3">
                        <w:rPr>
                          <w:rFonts w:ascii="Calibri" w:hAnsi="Calibri" w:cs="Calibri"/>
                          <w:b/>
                        </w:rPr>
                        <w:t>Market Cap:</w:t>
                      </w:r>
                      <w:r w:rsidRPr="00FB77C3">
                        <w:rPr>
                          <w:rFonts w:ascii="Calibri" w:hAnsi="Calibri" w:cs="Calibri"/>
                        </w:rPr>
                        <w:t xml:space="preserve"> £40m</w:t>
                      </w:r>
                    </w:p>
                    <w:p w14:paraId="7CB8A98C" w14:textId="77777777" w:rsidR="006A5868" w:rsidRPr="00FB77C3" w:rsidRDefault="006A5868" w:rsidP="00A220BB">
                      <w:pPr>
                        <w:spacing w:after="0"/>
                        <w:jc w:val="both"/>
                        <w:rPr>
                          <w:rFonts w:ascii="Calibri" w:hAnsi="Calibri" w:cs="Calibri"/>
                        </w:rPr>
                      </w:pPr>
                    </w:p>
                    <w:p w14:paraId="534D671B" w14:textId="37BD9796" w:rsidR="006A5868" w:rsidRDefault="006A5868" w:rsidP="00A220BB">
                      <w:pPr>
                        <w:spacing w:after="0"/>
                        <w:jc w:val="both"/>
                        <w:rPr>
                          <w:rFonts w:ascii="Calibri" w:hAnsi="Calibri" w:cs="Calibri"/>
                        </w:rPr>
                      </w:pPr>
                      <w:r w:rsidRPr="00FB77C3">
                        <w:rPr>
                          <w:rFonts w:ascii="Calibri" w:hAnsi="Calibri" w:cs="Calibri"/>
                        </w:rPr>
                        <w:t xml:space="preserve">Company </w:t>
                      </w:r>
                      <w:r>
                        <w:rPr>
                          <w:rFonts w:ascii="Calibri" w:hAnsi="Calibri" w:cs="Calibri"/>
                        </w:rPr>
                        <w:t>L</w:t>
                      </w:r>
                      <w:r w:rsidRPr="00FB77C3">
                        <w:rPr>
                          <w:rFonts w:ascii="Calibri" w:hAnsi="Calibri" w:cs="Calibri"/>
                        </w:rPr>
                        <w:t xml:space="preserve">’s group has only UK to UK intercompany transactions, yet has to spend internal time and professional fees on UK transfer pricing documentation, which generates no benefit to the group or UK Exchequer. </w:t>
                      </w:r>
                    </w:p>
                    <w:p w14:paraId="5B794B67" w14:textId="77777777" w:rsidR="006A5868" w:rsidRPr="00FB77C3" w:rsidRDefault="006A5868" w:rsidP="00A220BB">
                      <w:pPr>
                        <w:spacing w:after="0"/>
                        <w:jc w:val="both"/>
                        <w:rPr>
                          <w:rFonts w:ascii="Calibri" w:hAnsi="Calibri" w:cs="Calibri"/>
                        </w:rPr>
                      </w:pPr>
                    </w:p>
                    <w:p w14:paraId="574E8B07" w14:textId="77777777" w:rsidR="006A5868" w:rsidRPr="00FB77C3" w:rsidRDefault="006A5868" w:rsidP="00A220BB">
                      <w:pPr>
                        <w:spacing w:after="0"/>
                        <w:jc w:val="both"/>
                        <w:rPr>
                          <w:rFonts w:ascii="Calibri" w:hAnsi="Calibri" w:cs="Calibri"/>
                        </w:rPr>
                      </w:pPr>
                      <w:r w:rsidRPr="00FB77C3">
                        <w:rPr>
                          <w:rFonts w:ascii="Calibri" w:hAnsi="Calibri" w:cs="Calibri"/>
                          <w:b/>
                        </w:rPr>
                        <w:t>Estimated extra cost to company in management time:</w:t>
                      </w:r>
                      <w:r w:rsidRPr="00FB77C3">
                        <w:rPr>
                          <w:rFonts w:ascii="Calibri" w:hAnsi="Calibri" w:cs="Calibri"/>
                        </w:rPr>
                        <w:t xml:space="preserve"> £20,000</w:t>
                      </w:r>
                    </w:p>
                    <w:p w14:paraId="7B3878DC" w14:textId="77777777" w:rsidR="006A5868" w:rsidRPr="00FB77C3" w:rsidRDefault="006A5868" w:rsidP="00A220BB">
                      <w:pPr>
                        <w:spacing w:after="0"/>
                        <w:jc w:val="both"/>
                        <w:rPr>
                          <w:rFonts w:ascii="Calibri" w:hAnsi="Calibri" w:cs="Calibri"/>
                        </w:rPr>
                      </w:pPr>
                      <w:r w:rsidRPr="00FB77C3">
                        <w:rPr>
                          <w:rFonts w:ascii="Calibri" w:hAnsi="Calibri" w:cs="Calibri"/>
                          <w:b/>
                        </w:rPr>
                        <w:t>Estimated extra cost to company in advisor fees</w:t>
                      </w:r>
                      <w:r>
                        <w:rPr>
                          <w:rFonts w:ascii="Calibri" w:hAnsi="Calibri" w:cs="Calibri"/>
                        </w:rPr>
                        <w:t>: £20,000</w:t>
                      </w:r>
                    </w:p>
                  </w:txbxContent>
                </v:textbox>
              </v:shape>
            </w:pict>
          </mc:Fallback>
        </mc:AlternateContent>
      </w:r>
    </w:p>
    <w:p w14:paraId="5EB67DEF" w14:textId="77777777" w:rsidR="00A220BB" w:rsidRDefault="00A220BB" w:rsidP="00383453">
      <w:pPr>
        <w:jc w:val="both"/>
        <w:rPr>
          <w:b/>
          <w:u w:val="single"/>
        </w:rPr>
      </w:pPr>
    </w:p>
    <w:p w14:paraId="1A0A153D" w14:textId="77777777" w:rsidR="00A220BB" w:rsidRDefault="00A220BB" w:rsidP="00383453">
      <w:pPr>
        <w:jc w:val="both"/>
        <w:rPr>
          <w:b/>
          <w:u w:val="single"/>
        </w:rPr>
      </w:pPr>
    </w:p>
    <w:p w14:paraId="0FDD8FB8" w14:textId="77777777" w:rsidR="00A220BB" w:rsidRDefault="00A220BB" w:rsidP="00383453">
      <w:pPr>
        <w:jc w:val="both"/>
        <w:rPr>
          <w:b/>
          <w:u w:val="single"/>
        </w:rPr>
      </w:pPr>
    </w:p>
    <w:p w14:paraId="41DF2F0E" w14:textId="77777777" w:rsidR="00A220BB" w:rsidRDefault="00A220BB" w:rsidP="00383453">
      <w:pPr>
        <w:jc w:val="both"/>
        <w:rPr>
          <w:b/>
          <w:u w:val="single"/>
        </w:rPr>
      </w:pPr>
    </w:p>
    <w:p w14:paraId="2A1D022E" w14:textId="77777777" w:rsidR="00A220BB" w:rsidRDefault="00A220BB" w:rsidP="00383453">
      <w:pPr>
        <w:jc w:val="both"/>
        <w:rPr>
          <w:b/>
          <w:u w:val="single"/>
        </w:rPr>
      </w:pPr>
    </w:p>
    <w:p w14:paraId="35E96D3D" w14:textId="1E3487A8" w:rsidR="00A220BB" w:rsidRDefault="00A220BB" w:rsidP="00383453">
      <w:pPr>
        <w:jc w:val="both"/>
        <w:rPr>
          <w:b/>
          <w:u w:val="single"/>
        </w:rPr>
      </w:pPr>
    </w:p>
    <w:p w14:paraId="57107E6C" w14:textId="11EC420C" w:rsidR="00A220BB" w:rsidRDefault="00A220BB" w:rsidP="00383453">
      <w:pPr>
        <w:jc w:val="both"/>
        <w:rPr>
          <w:b/>
          <w:u w:val="single"/>
        </w:rPr>
      </w:pPr>
    </w:p>
    <w:p w14:paraId="2ECED718" w14:textId="2FAE6E5F" w:rsidR="0092673A" w:rsidRDefault="001E41DD" w:rsidP="00383453">
      <w:pPr>
        <w:jc w:val="both"/>
        <w:rPr>
          <w:b/>
          <w:u w:val="single"/>
        </w:rPr>
      </w:pPr>
      <w:r>
        <w:rPr>
          <w:noProof/>
          <w:lang w:eastAsia="en-GB"/>
        </w:rPr>
        <mc:AlternateContent>
          <mc:Choice Requires="wps">
            <w:drawing>
              <wp:anchor distT="0" distB="0" distL="114300" distR="114300" simplePos="0" relativeHeight="251655168" behindDoc="0" locked="0" layoutInCell="1" allowOverlap="1" wp14:anchorId="09DC6A7E" wp14:editId="0285F039">
                <wp:simplePos x="0" y="0"/>
                <wp:positionH relativeFrom="column">
                  <wp:posOffset>-40640</wp:posOffset>
                </wp:positionH>
                <wp:positionV relativeFrom="paragraph">
                  <wp:posOffset>217615</wp:posOffset>
                </wp:positionV>
                <wp:extent cx="6198235" cy="1403985"/>
                <wp:effectExtent l="0" t="0" r="12065" b="2159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235" cy="1403985"/>
                        </a:xfrm>
                        <a:prstGeom prst="rect">
                          <a:avLst/>
                        </a:prstGeom>
                        <a:solidFill>
                          <a:srgbClr val="FFFFFF"/>
                        </a:solidFill>
                        <a:ln w="9525">
                          <a:solidFill>
                            <a:srgbClr val="000000"/>
                          </a:solidFill>
                          <a:miter lim="800000"/>
                          <a:headEnd/>
                          <a:tailEnd/>
                        </a:ln>
                      </wps:spPr>
                      <wps:txbx>
                        <w:txbxContent>
                          <w:p w14:paraId="45970C8B" w14:textId="361BE4FD" w:rsidR="006A5868" w:rsidRPr="00FB77C3" w:rsidRDefault="006A5868" w:rsidP="00A220BB">
                            <w:pPr>
                              <w:jc w:val="both"/>
                              <w:rPr>
                                <w:rFonts w:ascii="Calibri" w:hAnsi="Calibri"/>
                                <w:b/>
                              </w:rPr>
                            </w:pPr>
                            <w:r w:rsidRPr="00FB77C3">
                              <w:rPr>
                                <w:rFonts w:ascii="Calibri" w:hAnsi="Calibri"/>
                                <w:b/>
                              </w:rPr>
                              <w:t xml:space="preserve">Company </w:t>
                            </w:r>
                            <w:r>
                              <w:rPr>
                                <w:rFonts w:ascii="Calibri" w:hAnsi="Calibri"/>
                                <w:b/>
                              </w:rPr>
                              <w:t>M</w:t>
                            </w:r>
                          </w:p>
                          <w:p w14:paraId="4EC8FAF9" w14:textId="1992AF01" w:rsidR="006A5868" w:rsidRDefault="006A5868" w:rsidP="00A220BB">
                            <w:pPr>
                              <w:spacing w:after="0"/>
                              <w:jc w:val="both"/>
                              <w:rPr>
                                <w:rFonts w:ascii="Calibri" w:hAnsi="Calibri"/>
                              </w:rPr>
                            </w:pPr>
                            <w:r w:rsidRPr="00FB77C3">
                              <w:rPr>
                                <w:rFonts w:ascii="Calibri" w:hAnsi="Calibri"/>
                              </w:rPr>
                              <w:t xml:space="preserve">Company </w:t>
                            </w:r>
                            <w:r>
                              <w:rPr>
                                <w:rFonts w:ascii="Calibri" w:hAnsi="Calibri"/>
                              </w:rPr>
                              <w:t>M</w:t>
                            </w:r>
                            <w:r w:rsidRPr="00FB77C3">
                              <w:rPr>
                                <w:rFonts w:ascii="Calibri" w:hAnsi="Calibri"/>
                              </w:rPr>
                              <w:t xml:space="preserve"> is a UK sub-group of a German parent, which operates in a number of territories globally, manufacturing and distributing video camera equipment. The other territories in which it operates have tax rates equal to or higher than the UK. The group is classed as medium for UK transfer pricing purposes. The UK sub-group was recently reorganised and had to rework its UK transfer pricing support documentation at a cost of some £40,000 (management time and professional fees), with future annual costs anticipated to refresh the documentation.</w:t>
                            </w:r>
                          </w:p>
                          <w:p w14:paraId="0F51116E" w14:textId="77777777" w:rsidR="006A5868" w:rsidRPr="00FB77C3" w:rsidRDefault="006A5868" w:rsidP="00A220BB">
                            <w:pPr>
                              <w:spacing w:after="0"/>
                              <w:jc w:val="both"/>
                              <w:rPr>
                                <w:rFonts w:ascii="Calibri" w:hAnsi="Calibri"/>
                              </w:rPr>
                            </w:pPr>
                          </w:p>
                          <w:p w14:paraId="34165CD0" w14:textId="77777777" w:rsidR="006A5868" w:rsidRPr="00FB77C3" w:rsidRDefault="006A5868" w:rsidP="00A220BB">
                            <w:pPr>
                              <w:spacing w:after="0"/>
                              <w:jc w:val="both"/>
                              <w:rPr>
                                <w:rFonts w:ascii="Calibri" w:hAnsi="Calibri"/>
                              </w:rPr>
                            </w:pPr>
                            <w:r w:rsidRPr="00FB77C3">
                              <w:rPr>
                                <w:rFonts w:ascii="Calibri" w:hAnsi="Calibri"/>
                                <w:b/>
                              </w:rPr>
                              <w:t>Estimated extra cost to company in management time:</w:t>
                            </w:r>
                            <w:r w:rsidRPr="00FB77C3">
                              <w:rPr>
                                <w:rFonts w:ascii="Calibri" w:hAnsi="Calibri"/>
                              </w:rPr>
                              <w:t xml:space="preserve"> £20,000</w:t>
                            </w:r>
                          </w:p>
                          <w:p w14:paraId="58F365B6" w14:textId="77777777" w:rsidR="006A5868" w:rsidRPr="00FB77C3" w:rsidRDefault="006A5868" w:rsidP="00A220BB">
                            <w:pPr>
                              <w:spacing w:after="0"/>
                              <w:jc w:val="both"/>
                              <w:rPr>
                                <w:rFonts w:ascii="Calibri" w:hAnsi="Calibri" w:cs="Calibri"/>
                              </w:rPr>
                            </w:pPr>
                            <w:r w:rsidRPr="00FB77C3">
                              <w:rPr>
                                <w:rFonts w:ascii="Calibri" w:hAnsi="Calibri"/>
                                <w:b/>
                              </w:rPr>
                              <w:t>Estimated extra cost to company in advisor fees:</w:t>
                            </w:r>
                            <w:r w:rsidRPr="00FB77C3">
                              <w:rPr>
                                <w:rFonts w:ascii="Calibri" w:hAnsi="Calibri"/>
                              </w:rPr>
                              <w:t xml:space="preserve"> £20,000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DC6A7E" id="Text Box 10" o:spid="_x0000_s1041" type="#_x0000_t202" style="position:absolute;left:0;text-align:left;margin-left:-3.2pt;margin-top:17.15pt;width:488.05pt;height:110.55pt;z-index:2516551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">
                <v:textbox style="mso-fit-shape-to-text:t">
                  <w:txbxContent>
                    <w:p w14:paraId="45970C8B" w14:textId="361BE4FD" w:rsidR="006A5868" w:rsidRPr="00FB77C3" w:rsidRDefault="006A5868" w:rsidP="00A220BB">
                      <w:pPr>
                        <w:jc w:val="both"/>
                        <w:rPr>
                          <w:rFonts w:ascii="Calibri" w:hAnsi="Calibri"/>
                          <w:b/>
                        </w:rPr>
                      </w:pPr>
                      <w:r w:rsidRPr="00FB77C3">
                        <w:rPr>
                          <w:rFonts w:ascii="Calibri" w:hAnsi="Calibri"/>
                          <w:b/>
                        </w:rPr>
                        <w:t xml:space="preserve">Company </w:t>
                      </w:r>
                      <w:r>
                        <w:rPr>
                          <w:rFonts w:ascii="Calibri" w:hAnsi="Calibri"/>
                          <w:b/>
                        </w:rPr>
                        <w:t>M</w:t>
                      </w:r>
                    </w:p>
                    <w:p w14:paraId="4EC8FAF9" w14:textId="1992AF01" w:rsidR="006A5868" w:rsidRDefault="006A5868" w:rsidP="00A220BB">
                      <w:pPr>
                        <w:spacing w:after="0"/>
                        <w:jc w:val="both"/>
                        <w:rPr>
                          <w:rFonts w:ascii="Calibri" w:hAnsi="Calibri"/>
                        </w:rPr>
                      </w:pPr>
                      <w:r w:rsidRPr="00FB77C3">
                        <w:rPr>
                          <w:rFonts w:ascii="Calibri" w:hAnsi="Calibri"/>
                        </w:rPr>
                        <w:t xml:space="preserve">Company </w:t>
                      </w:r>
                      <w:r>
                        <w:rPr>
                          <w:rFonts w:ascii="Calibri" w:hAnsi="Calibri"/>
                        </w:rPr>
                        <w:t>M</w:t>
                      </w:r>
                      <w:r w:rsidRPr="00FB77C3">
                        <w:rPr>
                          <w:rFonts w:ascii="Calibri" w:hAnsi="Calibri"/>
                        </w:rPr>
                        <w:t xml:space="preserve"> is a UK sub-group of a German parent, which operates in a number of territories globally, manufacturing and distributing video camera equipment. The other territories in which it operates have tax rates equal to or higher than the UK. The group is classed as medium for UK transfer pricing purposes. The UK sub-group was recently reorganised and had to rework its UK transfer pricing support documentation at a cost of some £40,000 (management time and professional fees), with future annual costs anticipated to refresh the documentation.</w:t>
                      </w:r>
                    </w:p>
                    <w:p w14:paraId="0F51116E" w14:textId="77777777" w:rsidR="006A5868" w:rsidRPr="00FB77C3" w:rsidRDefault="006A5868" w:rsidP="00A220BB">
                      <w:pPr>
                        <w:spacing w:after="0"/>
                        <w:jc w:val="both"/>
                        <w:rPr>
                          <w:rFonts w:ascii="Calibri" w:hAnsi="Calibri"/>
                        </w:rPr>
                      </w:pPr>
                    </w:p>
                    <w:p w14:paraId="34165CD0" w14:textId="77777777" w:rsidR="006A5868" w:rsidRPr="00FB77C3" w:rsidRDefault="006A5868" w:rsidP="00A220BB">
                      <w:pPr>
                        <w:spacing w:after="0"/>
                        <w:jc w:val="both"/>
                        <w:rPr>
                          <w:rFonts w:ascii="Calibri" w:hAnsi="Calibri"/>
                        </w:rPr>
                      </w:pPr>
                      <w:r w:rsidRPr="00FB77C3">
                        <w:rPr>
                          <w:rFonts w:ascii="Calibri" w:hAnsi="Calibri"/>
                          <w:b/>
                        </w:rPr>
                        <w:t>Estimated extra cost to company in management time:</w:t>
                      </w:r>
                      <w:r w:rsidRPr="00FB77C3">
                        <w:rPr>
                          <w:rFonts w:ascii="Calibri" w:hAnsi="Calibri"/>
                        </w:rPr>
                        <w:t xml:space="preserve"> £20,000</w:t>
                      </w:r>
                    </w:p>
                    <w:p w14:paraId="58F365B6" w14:textId="77777777" w:rsidR="006A5868" w:rsidRPr="00FB77C3" w:rsidRDefault="006A5868" w:rsidP="00A220BB">
                      <w:pPr>
                        <w:spacing w:after="0"/>
                        <w:jc w:val="both"/>
                        <w:rPr>
                          <w:rFonts w:ascii="Calibri" w:hAnsi="Calibri" w:cs="Calibri"/>
                        </w:rPr>
                      </w:pPr>
                      <w:r w:rsidRPr="00FB77C3">
                        <w:rPr>
                          <w:rFonts w:ascii="Calibri" w:hAnsi="Calibri"/>
                          <w:b/>
                        </w:rPr>
                        <w:t>Estimated extra cost to company in advisor fees:</w:t>
                      </w:r>
                      <w:r w:rsidRPr="00FB77C3">
                        <w:rPr>
                          <w:rFonts w:ascii="Calibri" w:hAnsi="Calibri"/>
                        </w:rPr>
                        <w:t xml:space="preserve"> £20,000</w:t>
                      </w:r>
                    </w:p>
                  </w:txbxContent>
                </v:textbox>
              </v:shape>
            </w:pict>
          </mc:Fallback>
        </mc:AlternateContent>
      </w:r>
    </w:p>
    <w:p w14:paraId="501E6FBC" w14:textId="5640AD6E" w:rsidR="00A220BB" w:rsidRDefault="00A220BB" w:rsidP="00383453">
      <w:pPr>
        <w:jc w:val="both"/>
        <w:rPr>
          <w:b/>
          <w:u w:val="single"/>
        </w:rPr>
      </w:pPr>
    </w:p>
    <w:p w14:paraId="3AB16C18" w14:textId="77777777" w:rsidR="0092673A" w:rsidRDefault="0092673A" w:rsidP="00383453">
      <w:pPr>
        <w:jc w:val="both"/>
        <w:rPr>
          <w:b/>
          <w:u w:val="single"/>
        </w:rPr>
      </w:pPr>
    </w:p>
    <w:p w14:paraId="438CA4AB" w14:textId="77777777" w:rsidR="00A220BB" w:rsidRPr="00D76B7C" w:rsidRDefault="00A220BB" w:rsidP="00383453">
      <w:pPr>
        <w:jc w:val="both"/>
        <w:rPr>
          <w:b/>
          <w:u w:val="single"/>
        </w:rPr>
        <w:sectPr w:rsidR="00A220BB" w:rsidRPr="00D76B7C" w:rsidSect="00F27B7A">
          <w:pgSz w:w="11906" w:h="16838"/>
          <w:pgMar w:top="1134" w:right="1134" w:bottom="1134" w:left="1134" w:header="708" w:footer="708" w:gutter="0"/>
          <w:cols w:space="708"/>
          <w:docGrid w:linePitch="360"/>
        </w:sectPr>
      </w:pPr>
      <w:r>
        <w:rPr>
          <w:noProof/>
          <w:lang w:eastAsia="en-GB"/>
        </w:rPr>
        <mc:AlternateContent>
          <mc:Choice Requires="wps">
            <w:drawing>
              <wp:anchor distT="0" distB="0" distL="114300" distR="114300" simplePos="0" relativeHeight="251654144" behindDoc="0" locked="0" layoutInCell="1" allowOverlap="1" wp14:anchorId="32275922" wp14:editId="675D754D">
                <wp:simplePos x="0" y="0"/>
                <wp:positionH relativeFrom="column">
                  <wp:posOffset>-40640</wp:posOffset>
                </wp:positionH>
                <wp:positionV relativeFrom="paragraph">
                  <wp:posOffset>1621600</wp:posOffset>
                </wp:positionV>
                <wp:extent cx="6198235" cy="1403985"/>
                <wp:effectExtent l="0" t="0" r="12065" b="2032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235" cy="1403985"/>
                        </a:xfrm>
                        <a:prstGeom prst="rect">
                          <a:avLst/>
                        </a:prstGeom>
                        <a:solidFill>
                          <a:srgbClr val="FFFFFF"/>
                        </a:solidFill>
                        <a:ln w="9525">
                          <a:solidFill>
                            <a:srgbClr val="000000"/>
                          </a:solidFill>
                          <a:miter lim="800000"/>
                          <a:headEnd/>
                          <a:tailEnd/>
                        </a:ln>
                      </wps:spPr>
                      <wps:txbx>
                        <w:txbxContent>
                          <w:p w14:paraId="53A21ACD" w14:textId="31DB140C" w:rsidR="006A5868" w:rsidRPr="00FB77C3" w:rsidRDefault="006A5868" w:rsidP="00A220BB">
                            <w:pPr>
                              <w:spacing w:after="0"/>
                              <w:jc w:val="both"/>
                              <w:rPr>
                                <w:rFonts w:ascii="Calibri" w:hAnsi="Calibri" w:cs="Calibri"/>
                                <w:b/>
                              </w:rPr>
                            </w:pPr>
                            <w:r w:rsidRPr="00FB77C3">
                              <w:rPr>
                                <w:rFonts w:ascii="Calibri" w:hAnsi="Calibri" w:cs="Calibri"/>
                                <w:b/>
                              </w:rPr>
                              <w:t xml:space="preserve">Company </w:t>
                            </w:r>
                            <w:r>
                              <w:rPr>
                                <w:rFonts w:ascii="Calibri" w:hAnsi="Calibri" w:cs="Calibri"/>
                                <w:b/>
                              </w:rPr>
                              <w:t>N</w:t>
                            </w:r>
                          </w:p>
                          <w:p w14:paraId="0CEB0AFC" w14:textId="77777777" w:rsidR="006A5868" w:rsidRPr="00FB77C3" w:rsidRDefault="006A5868" w:rsidP="00A220BB">
                            <w:pPr>
                              <w:spacing w:after="0"/>
                              <w:jc w:val="both"/>
                              <w:rPr>
                                <w:rFonts w:ascii="Calibri" w:hAnsi="Calibri" w:cs="Calibri"/>
                              </w:rPr>
                            </w:pPr>
                          </w:p>
                          <w:p w14:paraId="3011173A" w14:textId="069F4519" w:rsidR="006A5868" w:rsidRDefault="006A5868" w:rsidP="00A220BB">
                            <w:pPr>
                              <w:spacing w:after="0"/>
                              <w:jc w:val="both"/>
                              <w:rPr>
                                <w:rFonts w:ascii="Calibri" w:hAnsi="Calibri" w:cs="Calibri"/>
                              </w:rPr>
                            </w:pPr>
                            <w:r>
                              <w:rPr>
                                <w:rFonts w:ascii="Calibri" w:hAnsi="Calibri" w:cs="Calibri"/>
                              </w:rPr>
                              <w:t xml:space="preserve">Company N, a </w:t>
                            </w:r>
                            <w:r w:rsidRPr="00DF2C33">
                              <w:rPr>
                                <w:rFonts w:ascii="Calibri" w:hAnsi="Calibri" w:cs="Calibri"/>
                              </w:rPr>
                              <w:t>UK aviation gro</w:t>
                            </w:r>
                            <w:r>
                              <w:rPr>
                                <w:rFonts w:ascii="Calibri" w:hAnsi="Calibri" w:cs="Calibri"/>
                              </w:rPr>
                              <w:t xml:space="preserve">up, </w:t>
                            </w:r>
                            <w:r w:rsidRPr="00DF2C33">
                              <w:rPr>
                                <w:rFonts w:ascii="Calibri" w:hAnsi="Calibri" w:cs="Calibri"/>
                              </w:rPr>
                              <w:t xml:space="preserve">is medium for </w:t>
                            </w:r>
                            <w:r>
                              <w:rPr>
                                <w:rFonts w:ascii="Calibri" w:hAnsi="Calibri" w:cs="Calibri"/>
                              </w:rPr>
                              <w:t xml:space="preserve">UK </w:t>
                            </w:r>
                            <w:r w:rsidRPr="00DF2C33">
                              <w:rPr>
                                <w:rFonts w:ascii="Calibri" w:hAnsi="Calibri" w:cs="Calibri"/>
                              </w:rPr>
                              <w:t>transfer pricing</w:t>
                            </w:r>
                            <w:r>
                              <w:rPr>
                                <w:rFonts w:ascii="Calibri" w:hAnsi="Calibri" w:cs="Calibri"/>
                              </w:rPr>
                              <w:t xml:space="preserve"> purposes and</w:t>
                            </w:r>
                            <w:r w:rsidRPr="00DF2C33">
                              <w:rPr>
                                <w:rFonts w:ascii="Calibri" w:hAnsi="Calibri" w:cs="Calibri"/>
                              </w:rPr>
                              <w:t xml:space="preserve"> has annual costs (manageme</w:t>
                            </w:r>
                            <w:r>
                              <w:rPr>
                                <w:rFonts w:ascii="Calibri" w:hAnsi="Calibri" w:cs="Calibri"/>
                              </w:rPr>
                              <w:t xml:space="preserve">nt time and professional fees) </w:t>
                            </w:r>
                            <w:r w:rsidRPr="00DF2C33">
                              <w:rPr>
                                <w:rFonts w:ascii="Calibri" w:hAnsi="Calibri" w:cs="Calibri"/>
                              </w:rPr>
                              <w:t>of some £25,000 to maintain/refresh t</w:t>
                            </w:r>
                            <w:r>
                              <w:rPr>
                                <w:rFonts w:ascii="Calibri" w:hAnsi="Calibri" w:cs="Calibri"/>
                              </w:rPr>
                              <w:t xml:space="preserve">ransfer pricing documentation. </w:t>
                            </w:r>
                            <w:r w:rsidRPr="00DF2C33">
                              <w:rPr>
                                <w:rFonts w:ascii="Calibri" w:hAnsi="Calibri" w:cs="Calibri"/>
                              </w:rPr>
                              <w:t>This documentation has never been requested or queried by HMRC since the introduction of the new transfer pricing regime</w:t>
                            </w:r>
                            <w:r>
                              <w:rPr>
                                <w:rFonts w:ascii="Calibri" w:hAnsi="Calibri" w:cs="Calibri"/>
                              </w:rPr>
                              <w:t>.</w:t>
                            </w:r>
                          </w:p>
                          <w:p w14:paraId="1AB4CFF5" w14:textId="77777777" w:rsidR="006A5868" w:rsidRDefault="006A5868" w:rsidP="00A220BB">
                            <w:pPr>
                              <w:spacing w:after="0"/>
                              <w:jc w:val="both"/>
                              <w:rPr>
                                <w:rFonts w:ascii="Calibri" w:hAnsi="Calibri" w:cs="Calibri"/>
                              </w:rPr>
                            </w:pPr>
                          </w:p>
                          <w:p w14:paraId="259AB336" w14:textId="77777777" w:rsidR="006A5868" w:rsidRDefault="006A5868" w:rsidP="00A220BB">
                            <w:pPr>
                              <w:spacing w:after="0"/>
                              <w:jc w:val="both"/>
                              <w:rPr>
                                <w:rFonts w:ascii="Calibri" w:hAnsi="Calibri" w:cs="Calibri"/>
                              </w:rPr>
                            </w:pPr>
                            <w:r w:rsidRPr="00FB77C3">
                              <w:rPr>
                                <w:rFonts w:ascii="Calibri" w:hAnsi="Calibri" w:cs="Calibri"/>
                                <w:b/>
                              </w:rPr>
                              <w:t>Estimated extra cost to company in management time:</w:t>
                            </w:r>
                            <w:r>
                              <w:rPr>
                                <w:rFonts w:ascii="Calibri" w:hAnsi="Calibri" w:cs="Calibri"/>
                              </w:rPr>
                              <w:t xml:space="preserve"> £12,500</w:t>
                            </w:r>
                          </w:p>
                          <w:p w14:paraId="3AD9E3DA" w14:textId="77777777" w:rsidR="006A5868" w:rsidRPr="00FB77C3" w:rsidRDefault="006A5868" w:rsidP="00A220BB">
                            <w:pPr>
                              <w:spacing w:after="0"/>
                              <w:jc w:val="both"/>
                              <w:rPr>
                                <w:rFonts w:ascii="Calibri" w:hAnsi="Calibri" w:cs="Calibri"/>
                              </w:rPr>
                            </w:pPr>
                            <w:r w:rsidRPr="00FB77C3">
                              <w:rPr>
                                <w:rFonts w:ascii="Calibri" w:hAnsi="Calibri" w:cs="Calibri"/>
                                <w:b/>
                              </w:rPr>
                              <w:t xml:space="preserve">Estimated extra cost to company in advisor fees: </w:t>
                            </w:r>
                            <w:r>
                              <w:rPr>
                                <w:rFonts w:ascii="Calibri" w:hAnsi="Calibri" w:cs="Calibri"/>
                              </w:rPr>
                              <w:t>£12,500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275922" id="_x0000_s1042" type="#_x0000_t202" style="position:absolute;left:0;text-align:left;margin-left:-3.2pt;margin-top:127.7pt;width:488.05pt;height:110.55pt;z-index:2516541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">
                <v:textbox style="mso-fit-shape-to-text:t">
                  <w:txbxContent>
                    <w:p w14:paraId="53A21ACD" w14:textId="31DB140C" w:rsidR="006A5868" w:rsidRPr="00FB77C3" w:rsidRDefault="006A5868" w:rsidP="00A220BB">
                      <w:pPr>
                        <w:spacing w:after="0"/>
                        <w:jc w:val="both"/>
                        <w:rPr>
                          <w:rFonts w:ascii="Calibri" w:hAnsi="Calibri" w:cs="Calibri"/>
                          <w:b/>
                        </w:rPr>
                      </w:pPr>
                      <w:r w:rsidRPr="00FB77C3">
                        <w:rPr>
                          <w:rFonts w:ascii="Calibri" w:hAnsi="Calibri" w:cs="Calibri"/>
                          <w:b/>
                        </w:rPr>
                        <w:t xml:space="preserve">Company </w:t>
                      </w:r>
                      <w:r>
                        <w:rPr>
                          <w:rFonts w:ascii="Calibri" w:hAnsi="Calibri" w:cs="Calibri"/>
                          <w:b/>
                        </w:rPr>
                        <w:t>N</w:t>
                      </w:r>
                    </w:p>
                    <w:p w14:paraId="0CEB0AFC" w14:textId="77777777" w:rsidR="006A5868" w:rsidRPr="00FB77C3" w:rsidRDefault="006A5868" w:rsidP="00A220BB">
                      <w:pPr>
                        <w:spacing w:after="0"/>
                        <w:jc w:val="both"/>
                        <w:rPr>
                          <w:rFonts w:ascii="Calibri" w:hAnsi="Calibri" w:cs="Calibri"/>
                        </w:rPr>
                      </w:pPr>
                    </w:p>
                    <w:p w14:paraId="3011173A" w14:textId="069F4519" w:rsidR="006A5868" w:rsidRDefault="006A5868" w:rsidP="00A220BB">
                      <w:pPr>
                        <w:spacing w:after="0"/>
                        <w:jc w:val="both"/>
                        <w:rPr>
                          <w:rFonts w:ascii="Calibri" w:hAnsi="Calibri" w:cs="Calibri"/>
                        </w:rPr>
                      </w:pPr>
                      <w:r>
                        <w:rPr>
                          <w:rFonts w:ascii="Calibri" w:hAnsi="Calibri" w:cs="Calibri"/>
                        </w:rPr>
                        <w:t xml:space="preserve">Company N, a </w:t>
                      </w:r>
                      <w:r w:rsidRPr="00DF2C33">
                        <w:rPr>
                          <w:rFonts w:ascii="Calibri" w:hAnsi="Calibri" w:cs="Calibri"/>
                        </w:rPr>
                        <w:t>UK aviation gro</w:t>
                      </w:r>
                      <w:r>
                        <w:rPr>
                          <w:rFonts w:ascii="Calibri" w:hAnsi="Calibri" w:cs="Calibri"/>
                        </w:rPr>
                        <w:t xml:space="preserve">up, </w:t>
                      </w:r>
                      <w:r w:rsidRPr="00DF2C33">
                        <w:rPr>
                          <w:rFonts w:ascii="Calibri" w:hAnsi="Calibri" w:cs="Calibri"/>
                        </w:rPr>
                        <w:t xml:space="preserve">is medium for </w:t>
                      </w:r>
                      <w:r>
                        <w:rPr>
                          <w:rFonts w:ascii="Calibri" w:hAnsi="Calibri" w:cs="Calibri"/>
                        </w:rPr>
                        <w:t xml:space="preserve">UK </w:t>
                      </w:r>
                      <w:r w:rsidRPr="00DF2C33">
                        <w:rPr>
                          <w:rFonts w:ascii="Calibri" w:hAnsi="Calibri" w:cs="Calibri"/>
                        </w:rPr>
                        <w:t>transfer pricing</w:t>
                      </w:r>
                      <w:r>
                        <w:rPr>
                          <w:rFonts w:ascii="Calibri" w:hAnsi="Calibri" w:cs="Calibri"/>
                        </w:rPr>
                        <w:t xml:space="preserve"> purposes and</w:t>
                      </w:r>
                      <w:r w:rsidRPr="00DF2C33">
                        <w:rPr>
                          <w:rFonts w:ascii="Calibri" w:hAnsi="Calibri" w:cs="Calibri"/>
                        </w:rPr>
                        <w:t xml:space="preserve"> has annual costs (manageme</w:t>
                      </w:r>
                      <w:r>
                        <w:rPr>
                          <w:rFonts w:ascii="Calibri" w:hAnsi="Calibri" w:cs="Calibri"/>
                        </w:rPr>
                        <w:t xml:space="preserve">nt time and professional fees) </w:t>
                      </w:r>
                      <w:r w:rsidRPr="00DF2C33">
                        <w:rPr>
                          <w:rFonts w:ascii="Calibri" w:hAnsi="Calibri" w:cs="Calibri"/>
                        </w:rPr>
                        <w:t>of some £25,000 to maintain/refresh t</w:t>
                      </w:r>
                      <w:r>
                        <w:rPr>
                          <w:rFonts w:ascii="Calibri" w:hAnsi="Calibri" w:cs="Calibri"/>
                        </w:rPr>
                        <w:t xml:space="preserve">ransfer pricing documentation. </w:t>
                      </w:r>
                      <w:r w:rsidRPr="00DF2C33">
                        <w:rPr>
                          <w:rFonts w:ascii="Calibri" w:hAnsi="Calibri" w:cs="Calibri"/>
                        </w:rPr>
                        <w:t>This documentation has never been requested or queried by HMRC since the introduction of the new transfer pricing regime</w:t>
                      </w:r>
                      <w:r>
                        <w:rPr>
                          <w:rFonts w:ascii="Calibri" w:hAnsi="Calibri" w:cs="Calibri"/>
                        </w:rPr>
                        <w:t>.</w:t>
                      </w:r>
                    </w:p>
                    <w:p w14:paraId="1AB4CFF5" w14:textId="77777777" w:rsidR="006A5868" w:rsidRDefault="006A5868" w:rsidP="00A220BB">
                      <w:pPr>
                        <w:spacing w:after="0"/>
                        <w:jc w:val="both"/>
                        <w:rPr>
                          <w:rFonts w:ascii="Calibri" w:hAnsi="Calibri" w:cs="Calibri"/>
                        </w:rPr>
                      </w:pPr>
                    </w:p>
                    <w:p w14:paraId="259AB336" w14:textId="77777777" w:rsidR="006A5868" w:rsidRDefault="006A5868" w:rsidP="00A220BB">
                      <w:pPr>
                        <w:spacing w:after="0"/>
                        <w:jc w:val="both"/>
                        <w:rPr>
                          <w:rFonts w:ascii="Calibri" w:hAnsi="Calibri" w:cs="Calibri"/>
                        </w:rPr>
                      </w:pPr>
                      <w:r w:rsidRPr="00FB77C3">
                        <w:rPr>
                          <w:rFonts w:ascii="Calibri" w:hAnsi="Calibri" w:cs="Calibri"/>
                          <w:b/>
                        </w:rPr>
                        <w:t>Estimated extra cost to company in management time:</w:t>
                      </w:r>
                      <w:r>
                        <w:rPr>
                          <w:rFonts w:ascii="Calibri" w:hAnsi="Calibri" w:cs="Calibri"/>
                        </w:rPr>
                        <w:t xml:space="preserve"> £12,500</w:t>
                      </w:r>
                    </w:p>
                    <w:p w14:paraId="3AD9E3DA" w14:textId="77777777" w:rsidR="006A5868" w:rsidRPr="00FB77C3" w:rsidRDefault="006A5868" w:rsidP="00A220BB">
                      <w:pPr>
                        <w:spacing w:after="0"/>
                        <w:jc w:val="both"/>
                        <w:rPr>
                          <w:rFonts w:ascii="Calibri" w:hAnsi="Calibri" w:cs="Calibri"/>
                        </w:rPr>
                      </w:pPr>
                      <w:r w:rsidRPr="00FB77C3">
                        <w:rPr>
                          <w:rFonts w:ascii="Calibri" w:hAnsi="Calibri" w:cs="Calibri"/>
                          <w:b/>
                        </w:rPr>
                        <w:t xml:space="preserve">Estimated extra cost to company in advisor fees: </w:t>
                      </w:r>
                      <w:r>
                        <w:rPr>
                          <w:rFonts w:ascii="Calibri" w:hAnsi="Calibri" w:cs="Calibri"/>
                        </w:rPr>
                        <w:t>£12,500</w:t>
                      </w:r>
                    </w:p>
                  </w:txbxContent>
                </v:textbox>
              </v:shape>
            </w:pict>
          </mc:Fallback>
        </mc:AlternateContent>
      </w:r>
    </w:p>
    <w:p w14:paraId="059606B2" w14:textId="5EAF6CEC" w:rsidR="00A220BB" w:rsidRPr="00EA325E" w:rsidRDefault="00A220BB" w:rsidP="00A220BB">
      <w:pPr>
        <w:pStyle w:val="Heading1"/>
        <w:spacing w:before="0" w:after="200"/>
        <w:jc w:val="both"/>
        <w:rPr>
          <w:rFonts w:ascii="Calibri" w:hAnsi="Calibri"/>
          <w:color w:val="auto"/>
          <w:sz w:val="24"/>
          <w:u w:val="single"/>
        </w:rPr>
      </w:pPr>
      <w:bookmarkStart w:id="23" w:name="_Toc19093871"/>
      <w:r w:rsidRPr="00EA325E">
        <w:rPr>
          <w:rFonts w:ascii="Calibri" w:hAnsi="Calibri"/>
          <w:color w:val="auto"/>
          <w:sz w:val="24"/>
          <w:u w:val="single"/>
        </w:rPr>
        <w:lastRenderedPageBreak/>
        <w:t xml:space="preserve">Appendix </w:t>
      </w:r>
      <w:r w:rsidR="00416B91">
        <w:rPr>
          <w:rFonts w:ascii="Calibri" w:hAnsi="Calibri"/>
          <w:color w:val="auto"/>
          <w:sz w:val="24"/>
          <w:u w:val="single"/>
        </w:rPr>
        <w:t>F</w:t>
      </w:r>
      <w:r w:rsidRPr="00EA325E">
        <w:rPr>
          <w:rFonts w:ascii="Calibri" w:hAnsi="Calibri"/>
          <w:color w:val="auto"/>
          <w:sz w:val="24"/>
          <w:u w:val="single"/>
        </w:rPr>
        <w:t xml:space="preserve">: </w:t>
      </w:r>
      <w:r w:rsidR="009B5396">
        <w:rPr>
          <w:rFonts w:ascii="Calibri" w:hAnsi="Calibri"/>
          <w:color w:val="auto"/>
          <w:sz w:val="24"/>
          <w:u w:val="single"/>
        </w:rPr>
        <w:t>Expert Group</w:t>
      </w:r>
      <w:r w:rsidRPr="00EA325E">
        <w:rPr>
          <w:rFonts w:ascii="Calibri" w:hAnsi="Calibri"/>
          <w:color w:val="auto"/>
          <w:sz w:val="24"/>
          <w:u w:val="single"/>
        </w:rPr>
        <w:t xml:space="preserve"> members</w:t>
      </w:r>
      <w:bookmarkEnd w:id="23"/>
    </w:p>
    <w:p w14:paraId="6C558D67" w14:textId="2B258B18" w:rsidR="001A2A5C" w:rsidRDefault="001A2A5C" w:rsidP="001A2A5C">
      <w:pPr>
        <w:rPr>
          <w:b/>
        </w:rPr>
      </w:pPr>
      <w:r w:rsidRPr="0017626E">
        <w:rPr>
          <w:b/>
        </w:rPr>
        <w:t xml:space="preserve">Quoted Companies Alliance </w:t>
      </w:r>
      <w:r w:rsidRPr="005F44AD">
        <w:rPr>
          <w:b/>
          <w:i/>
        </w:rPr>
        <w:t>Tax Expert Group</w:t>
      </w:r>
    </w:p>
    <w:tbl>
      <w:tblPr>
        <w:tblStyle w:val="PlainTable1"/>
        <w:tblW w:w="9746" w:type="dxa"/>
        <w:tblLook w:val="04A0" w:firstRow="1" w:lastRow="0" w:firstColumn="1" w:lastColumn="0" w:noHBand="0" w:noVBand="1"/>
      </w:tblPr>
      <w:tblGrid>
        <w:gridCol w:w="4360"/>
        <w:gridCol w:w="5386"/>
      </w:tblGrid>
      <w:tr w:rsidR="00A310FF" w:rsidRPr="00CC7258" w14:paraId="4538ABEC" w14:textId="77777777" w:rsidTr="002E18DD">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466FBF05" w14:textId="40C81253" w:rsidR="00A310FF" w:rsidRPr="00A310FF" w:rsidRDefault="00A310FF" w:rsidP="002E18DD">
            <w:pPr>
              <w:spacing w:before="20" w:after="20"/>
              <w:jc w:val="both"/>
              <w:rPr>
                <w:rFonts w:ascii="Calibri" w:hAnsi="Calibri"/>
                <w:b w:val="0"/>
                <w:bCs w:val="0"/>
              </w:rPr>
            </w:pPr>
            <w:r w:rsidRPr="00A310FF">
              <w:rPr>
                <w:rFonts w:ascii="Calibri" w:hAnsi="Calibri"/>
                <w:b w:val="0"/>
                <w:bCs w:val="0"/>
              </w:rPr>
              <w:t>Paul Fay (Chair)</w:t>
            </w:r>
          </w:p>
        </w:tc>
        <w:tc>
          <w:tcPr>
            <w:tcW w:w="5386" w:type="dxa"/>
          </w:tcPr>
          <w:p w14:paraId="48000E7D" w14:textId="56AF02FA" w:rsidR="00A310FF" w:rsidRPr="00A310FF" w:rsidRDefault="00A310FF" w:rsidP="002E18DD">
            <w:pPr>
              <w:spacing w:before="20" w:after="20"/>
              <w:jc w:val="both"/>
              <w:cnfStyle w:val="100000000000" w:firstRow="1" w:lastRow="0" w:firstColumn="0" w:lastColumn="0" w:oddVBand="0" w:evenVBand="0" w:oddHBand="0" w:evenHBand="0" w:firstRowFirstColumn="0" w:firstRowLastColumn="0" w:lastRowFirstColumn="0" w:lastRowLastColumn="0"/>
              <w:rPr>
                <w:rFonts w:ascii="Calibri" w:hAnsi="Calibri"/>
                <w:b w:val="0"/>
                <w:bCs w:val="0"/>
              </w:rPr>
            </w:pPr>
            <w:r>
              <w:rPr>
                <w:rFonts w:ascii="Calibri" w:hAnsi="Calibri"/>
                <w:b w:val="0"/>
                <w:bCs w:val="0"/>
              </w:rPr>
              <w:t>Crowe UK LLP</w:t>
            </w:r>
          </w:p>
        </w:tc>
      </w:tr>
      <w:tr w:rsidR="00A310FF" w:rsidRPr="00CC7258" w14:paraId="398165AD"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A2866C2" w14:textId="13121993" w:rsidR="00A310FF" w:rsidRPr="00A310FF" w:rsidRDefault="00A310FF" w:rsidP="002E18DD">
            <w:pPr>
              <w:spacing w:before="20" w:after="20"/>
              <w:jc w:val="both"/>
              <w:rPr>
                <w:rFonts w:ascii="Calibri" w:hAnsi="Calibri"/>
                <w:b w:val="0"/>
                <w:bCs w:val="0"/>
              </w:rPr>
            </w:pPr>
            <w:r>
              <w:rPr>
                <w:rFonts w:ascii="Calibri" w:hAnsi="Calibri"/>
                <w:b w:val="0"/>
                <w:bCs w:val="0"/>
              </w:rPr>
              <w:t xml:space="preserve">Mark </w:t>
            </w:r>
            <w:proofErr w:type="spellStart"/>
            <w:r>
              <w:rPr>
                <w:rFonts w:ascii="Calibri" w:hAnsi="Calibri"/>
                <w:b w:val="0"/>
                <w:bCs w:val="0"/>
              </w:rPr>
              <w:t>Allwood</w:t>
            </w:r>
            <w:proofErr w:type="spellEnd"/>
          </w:p>
        </w:tc>
        <w:tc>
          <w:tcPr>
            <w:tcW w:w="5386" w:type="dxa"/>
          </w:tcPr>
          <w:p w14:paraId="6AFAFB23" w14:textId="386BCD55" w:rsidR="00A310FF" w:rsidRP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proofErr w:type="spellStart"/>
            <w:r>
              <w:rPr>
                <w:rFonts w:ascii="Calibri" w:hAnsi="Calibri"/>
              </w:rPr>
              <w:t>Haysmacintyre</w:t>
            </w:r>
            <w:proofErr w:type="spellEnd"/>
          </w:p>
        </w:tc>
      </w:tr>
      <w:tr w:rsidR="00A310FF" w:rsidRPr="00CC7258" w14:paraId="142DC17D"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1D006C1A" w14:textId="3A649FF8" w:rsidR="00A310FF" w:rsidRDefault="00A310FF" w:rsidP="002E18DD">
            <w:pPr>
              <w:spacing w:before="20" w:after="20"/>
              <w:jc w:val="both"/>
              <w:rPr>
                <w:rFonts w:ascii="Calibri" w:hAnsi="Calibri"/>
                <w:b w:val="0"/>
                <w:bCs w:val="0"/>
              </w:rPr>
            </w:pPr>
            <w:r>
              <w:rPr>
                <w:rFonts w:ascii="Calibri" w:hAnsi="Calibri"/>
                <w:b w:val="0"/>
                <w:bCs w:val="0"/>
              </w:rPr>
              <w:t xml:space="preserve">Paul </w:t>
            </w:r>
            <w:proofErr w:type="spellStart"/>
            <w:r>
              <w:rPr>
                <w:rFonts w:ascii="Calibri" w:hAnsi="Calibri"/>
                <w:b w:val="0"/>
                <w:bCs w:val="0"/>
              </w:rPr>
              <w:t>Attridge</w:t>
            </w:r>
            <w:proofErr w:type="spellEnd"/>
          </w:p>
        </w:tc>
        <w:tc>
          <w:tcPr>
            <w:tcW w:w="5386" w:type="dxa"/>
          </w:tcPr>
          <w:p w14:paraId="343FF1D8" w14:textId="4159B27A"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Beavis Morgan LLP</w:t>
            </w:r>
          </w:p>
        </w:tc>
      </w:tr>
      <w:tr w:rsidR="00A310FF" w:rsidRPr="00CC7258" w14:paraId="7BF82AAD"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66F44EE9" w14:textId="7A8A254E" w:rsidR="00A310FF" w:rsidRDefault="00A310FF" w:rsidP="002E18DD">
            <w:pPr>
              <w:spacing w:before="20" w:after="20"/>
              <w:jc w:val="both"/>
              <w:rPr>
                <w:rFonts w:ascii="Calibri" w:hAnsi="Calibri"/>
                <w:b w:val="0"/>
                <w:bCs w:val="0"/>
              </w:rPr>
            </w:pPr>
            <w:r>
              <w:rPr>
                <w:rFonts w:ascii="Calibri" w:hAnsi="Calibri"/>
                <w:b w:val="0"/>
                <w:bCs w:val="0"/>
              </w:rPr>
              <w:t xml:space="preserve">Emma Bailey </w:t>
            </w:r>
          </w:p>
        </w:tc>
        <w:tc>
          <w:tcPr>
            <w:tcW w:w="5386" w:type="dxa"/>
          </w:tcPr>
          <w:p w14:paraId="45843528" w14:textId="20C62849"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Fox Williams LLP</w:t>
            </w:r>
          </w:p>
        </w:tc>
      </w:tr>
      <w:tr w:rsidR="00A310FF" w:rsidRPr="00CC7258" w14:paraId="05CAB6DD"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8184F6F" w14:textId="4CD5FF45" w:rsidR="00A310FF" w:rsidRDefault="00A310FF" w:rsidP="002E18DD">
            <w:pPr>
              <w:spacing w:before="20" w:after="20"/>
              <w:jc w:val="both"/>
              <w:rPr>
                <w:rFonts w:ascii="Calibri" w:hAnsi="Calibri"/>
                <w:b w:val="0"/>
                <w:bCs w:val="0"/>
              </w:rPr>
            </w:pPr>
            <w:r>
              <w:rPr>
                <w:rFonts w:ascii="Calibri" w:hAnsi="Calibri"/>
                <w:b w:val="0"/>
                <w:bCs w:val="0"/>
              </w:rPr>
              <w:t>Alex Barnes</w:t>
            </w:r>
          </w:p>
        </w:tc>
        <w:tc>
          <w:tcPr>
            <w:tcW w:w="5386" w:type="dxa"/>
          </w:tcPr>
          <w:p w14:paraId="57AC3DC6" w14:textId="48AEE2BE"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proofErr w:type="spellStart"/>
            <w:r>
              <w:rPr>
                <w:rFonts w:ascii="Calibri" w:hAnsi="Calibri"/>
              </w:rPr>
              <w:t>Memery</w:t>
            </w:r>
            <w:proofErr w:type="spellEnd"/>
            <w:r>
              <w:rPr>
                <w:rFonts w:ascii="Calibri" w:hAnsi="Calibri"/>
              </w:rPr>
              <w:t xml:space="preserve"> Crystal</w:t>
            </w:r>
          </w:p>
        </w:tc>
      </w:tr>
      <w:tr w:rsidR="00A310FF" w:rsidRPr="00CC7258" w14:paraId="67E2AC4D"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6C62A75A" w14:textId="7DF8E86D" w:rsidR="00A310FF" w:rsidRDefault="00A310FF" w:rsidP="002E18DD">
            <w:pPr>
              <w:spacing w:before="20" w:after="20"/>
              <w:jc w:val="both"/>
              <w:rPr>
                <w:rFonts w:ascii="Calibri" w:hAnsi="Calibri"/>
                <w:b w:val="0"/>
                <w:bCs w:val="0"/>
              </w:rPr>
            </w:pPr>
            <w:r>
              <w:rPr>
                <w:rFonts w:ascii="Calibri" w:hAnsi="Calibri"/>
                <w:b w:val="0"/>
                <w:bCs w:val="0"/>
              </w:rPr>
              <w:t>Edward Brown</w:t>
            </w:r>
          </w:p>
        </w:tc>
        <w:tc>
          <w:tcPr>
            <w:tcW w:w="5386" w:type="dxa"/>
          </w:tcPr>
          <w:p w14:paraId="1FBB1A0A" w14:textId="50F9915C"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Grant Thornton UK LLP</w:t>
            </w:r>
          </w:p>
        </w:tc>
      </w:tr>
      <w:tr w:rsidR="00A310FF" w:rsidRPr="00CC7258" w14:paraId="06FFEC90"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6516E0D5" w14:textId="2323146D" w:rsidR="00A310FF" w:rsidRDefault="00A310FF" w:rsidP="002E18DD">
            <w:pPr>
              <w:spacing w:before="20" w:after="20"/>
              <w:jc w:val="both"/>
              <w:rPr>
                <w:rFonts w:ascii="Calibri" w:hAnsi="Calibri"/>
                <w:b w:val="0"/>
                <w:bCs w:val="0"/>
              </w:rPr>
            </w:pPr>
            <w:r>
              <w:rPr>
                <w:rFonts w:ascii="Calibri" w:hAnsi="Calibri"/>
                <w:b w:val="0"/>
                <w:bCs w:val="0"/>
              </w:rPr>
              <w:t xml:space="preserve">Tom </w:t>
            </w:r>
            <w:proofErr w:type="spellStart"/>
            <w:r>
              <w:rPr>
                <w:rFonts w:ascii="Calibri" w:hAnsi="Calibri"/>
                <w:b w:val="0"/>
                <w:bCs w:val="0"/>
              </w:rPr>
              <w:t>Gareze</w:t>
            </w:r>
            <w:proofErr w:type="spellEnd"/>
          </w:p>
        </w:tc>
        <w:tc>
          <w:tcPr>
            <w:tcW w:w="5386" w:type="dxa"/>
          </w:tcPr>
          <w:p w14:paraId="39BC4716" w14:textId="13D35159"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PKF Littlejohn LLP</w:t>
            </w:r>
          </w:p>
        </w:tc>
      </w:tr>
      <w:tr w:rsidR="00A310FF" w:rsidRPr="00CC7258" w14:paraId="39432943"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42B7087" w14:textId="6092C7E7" w:rsidR="00A310FF" w:rsidRDefault="00A310FF" w:rsidP="002E18DD">
            <w:pPr>
              <w:spacing w:before="20" w:after="20"/>
              <w:jc w:val="both"/>
              <w:rPr>
                <w:rFonts w:ascii="Calibri" w:hAnsi="Calibri"/>
                <w:b w:val="0"/>
                <w:bCs w:val="0"/>
              </w:rPr>
            </w:pPr>
            <w:r>
              <w:rPr>
                <w:rFonts w:ascii="Calibri" w:hAnsi="Calibri"/>
                <w:b w:val="0"/>
                <w:bCs w:val="0"/>
              </w:rPr>
              <w:t xml:space="preserve">Rachel </w:t>
            </w:r>
            <w:proofErr w:type="spellStart"/>
            <w:r>
              <w:rPr>
                <w:rFonts w:ascii="Calibri" w:hAnsi="Calibri"/>
                <w:b w:val="0"/>
                <w:bCs w:val="0"/>
              </w:rPr>
              <w:t>Gauke</w:t>
            </w:r>
            <w:proofErr w:type="spellEnd"/>
            <w:r>
              <w:rPr>
                <w:rFonts w:ascii="Calibri" w:hAnsi="Calibri"/>
                <w:b w:val="0"/>
                <w:bCs w:val="0"/>
              </w:rPr>
              <w:t xml:space="preserve"> </w:t>
            </w:r>
          </w:p>
        </w:tc>
        <w:tc>
          <w:tcPr>
            <w:tcW w:w="5386" w:type="dxa"/>
          </w:tcPr>
          <w:p w14:paraId="4188D43E" w14:textId="7A0BDD94"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LexisNexis</w:t>
            </w:r>
          </w:p>
        </w:tc>
      </w:tr>
      <w:tr w:rsidR="00A310FF" w:rsidRPr="00CC7258" w14:paraId="5E234B1C"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32DC1FB" w14:textId="0B05647D" w:rsidR="00A310FF" w:rsidRDefault="00A310FF" w:rsidP="002E18DD">
            <w:pPr>
              <w:spacing w:before="20" w:after="20"/>
              <w:jc w:val="both"/>
              <w:rPr>
                <w:rFonts w:ascii="Calibri" w:hAnsi="Calibri"/>
                <w:b w:val="0"/>
                <w:bCs w:val="0"/>
              </w:rPr>
            </w:pPr>
            <w:r>
              <w:rPr>
                <w:rFonts w:ascii="Calibri" w:hAnsi="Calibri"/>
                <w:b w:val="0"/>
                <w:bCs w:val="0"/>
              </w:rPr>
              <w:t xml:space="preserve">Oliver </w:t>
            </w:r>
            <w:proofErr w:type="spellStart"/>
            <w:r>
              <w:rPr>
                <w:rFonts w:ascii="Calibri" w:hAnsi="Calibri"/>
                <w:b w:val="0"/>
                <w:bCs w:val="0"/>
              </w:rPr>
              <w:t>Gutman</w:t>
            </w:r>
            <w:proofErr w:type="spellEnd"/>
          </w:p>
        </w:tc>
        <w:tc>
          <w:tcPr>
            <w:tcW w:w="5386" w:type="dxa"/>
          </w:tcPr>
          <w:p w14:paraId="2D778B2F" w14:textId="68ECD7CA"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Shakespeare Martineau LLP</w:t>
            </w:r>
          </w:p>
        </w:tc>
      </w:tr>
      <w:tr w:rsidR="00A310FF" w:rsidRPr="00CC7258" w14:paraId="6068000D"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852CA9B" w14:textId="10D6EB83" w:rsidR="00A310FF" w:rsidRDefault="00A310FF" w:rsidP="002E18DD">
            <w:pPr>
              <w:spacing w:before="20" w:after="20"/>
              <w:jc w:val="both"/>
              <w:rPr>
                <w:rFonts w:ascii="Calibri" w:hAnsi="Calibri"/>
                <w:b w:val="0"/>
                <w:bCs w:val="0"/>
              </w:rPr>
            </w:pPr>
            <w:r>
              <w:rPr>
                <w:rFonts w:ascii="Calibri" w:hAnsi="Calibri"/>
                <w:b w:val="0"/>
                <w:bCs w:val="0"/>
              </w:rPr>
              <w:t>Yuri Hamano</w:t>
            </w:r>
          </w:p>
        </w:tc>
        <w:tc>
          <w:tcPr>
            <w:tcW w:w="5386" w:type="dxa"/>
          </w:tcPr>
          <w:p w14:paraId="5B3376F8" w14:textId="2015AC93"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BDO LLP</w:t>
            </w:r>
          </w:p>
        </w:tc>
      </w:tr>
      <w:tr w:rsidR="00A310FF" w:rsidRPr="00CC7258" w14:paraId="5C926BFD"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577AB3BB" w14:textId="244A7CDC" w:rsidR="00A310FF" w:rsidRDefault="00A310FF" w:rsidP="002E18DD">
            <w:pPr>
              <w:spacing w:before="20" w:after="20"/>
              <w:jc w:val="both"/>
              <w:rPr>
                <w:rFonts w:ascii="Calibri" w:hAnsi="Calibri"/>
                <w:b w:val="0"/>
                <w:bCs w:val="0"/>
              </w:rPr>
            </w:pPr>
            <w:r>
              <w:rPr>
                <w:rFonts w:ascii="Calibri" w:hAnsi="Calibri"/>
                <w:b w:val="0"/>
                <w:bCs w:val="0"/>
              </w:rPr>
              <w:t>Daniel Hawthorne</w:t>
            </w:r>
          </w:p>
        </w:tc>
        <w:tc>
          <w:tcPr>
            <w:tcW w:w="5386" w:type="dxa"/>
          </w:tcPr>
          <w:p w14:paraId="194DE68D" w14:textId="58A4DA50"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proofErr w:type="spellStart"/>
            <w:r>
              <w:rPr>
                <w:rFonts w:ascii="Calibri" w:hAnsi="Calibri"/>
              </w:rPr>
              <w:t>Dechert</w:t>
            </w:r>
            <w:proofErr w:type="spellEnd"/>
          </w:p>
        </w:tc>
      </w:tr>
      <w:tr w:rsidR="00A310FF" w:rsidRPr="00CC7258" w14:paraId="3C0270D6"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2A87F15" w14:textId="44AF992F" w:rsidR="00A310FF" w:rsidRDefault="00A310FF" w:rsidP="002E18DD">
            <w:pPr>
              <w:spacing w:before="20" w:after="20"/>
              <w:jc w:val="both"/>
              <w:rPr>
                <w:rFonts w:ascii="Calibri" w:hAnsi="Calibri"/>
                <w:b w:val="0"/>
                <w:bCs w:val="0"/>
              </w:rPr>
            </w:pPr>
            <w:r>
              <w:rPr>
                <w:rFonts w:ascii="Calibri" w:hAnsi="Calibri"/>
                <w:b w:val="0"/>
                <w:bCs w:val="0"/>
              </w:rPr>
              <w:t>Hannah Jones</w:t>
            </w:r>
          </w:p>
        </w:tc>
        <w:tc>
          <w:tcPr>
            <w:tcW w:w="5386" w:type="dxa"/>
          </w:tcPr>
          <w:p w14:paraId="05201CED" w14:textId="1F9478F1"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Deloitte LLP</w:t>
            </w:r>
          </w:p>
        </w:tc>
      </w:tr>
      <w:tr w:rsidR="00A310FF" w:rsidRPr="00CC7258" w14:paraId="3D3344DB"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C505A89" w14:textId="72E54E29" w:rsidR="00A310FF" w:rsidRDefault="00A310FF" w:rsidP="002E18DD">
            <w:pPr>
              <w:spacing w:before="20" w:after="20"/>
              <w:jc w:val="both"/>
              <w:rPr>
                <w:rFonts w:ascii="Calibri" w:hAnsi="Calibri"/>
                <w:b w:val="0"/>
                <w:bCs w:val="0"/>
              </w:rPr>
            </w:pPr>
            <w:r>
              <w:rPr>
                <w:rFonts w:ascii="Calibri" w:hAnsi="Calibri"/>
                <w:b w:val="0"/>
                <w:bCs w:val="0"/>
              </w:rPr>
              <w:t xml:space="preserve">Mark Joscelyne </w:t>
            </w:r>
          </w:p>
        </w:tc>
        <w:tc>
          <w:tcPr>
            <w:tcW w:w="5386" w:type="dxa"/>
          </w:tcPr>
          <w:p w14:paraId="71AE0CF0" w14:textId="61F47B78"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CMS</w:t>
            </w:r>
          </w:p>
        </w:tc>
      </w:tr>
      <w:tr w:rsidR="00A310FF" w:rsidRPr="00CC7258" w14:paraId="61A2699C"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237BC40" w14:textId="2EBA7E9C" w:rsidR="00A310FF" w:rsidRDefault="00A310FF" w:rsidP="002E18DD">
            <w:pPr>
              <w:spacing w:before="20" w:after="20"/>
              <w:jc w:val="both"/>
              <w:rPr>
                <w:rFonts w:ascii="Calibri" w:hAnsi="Calibri"/>
                <w:b w:val="0"/>
                <w:bCs w:val="0"/>
              </w:rPr>
            </w:pPr>
            <w:r>
              <w:rPr>
                <w:rFonts w:ascii="Calibri" w:hAnsi="Calibri"/>
                <w:b w:val="0"/>
                <w:bCs w:val="0"/>
              </w:rPr>
              <w:t xml:space="preserve">Emma </w:t>
            </w:r>
            <w:proofErr w:type="spellStart"/>
            <w:r>
              <w:rPr>
                <w:rFonts w:ascii="Calibri" w:hAnsi="Calibri"/>
                <w:b w:val="0"/>
                <w:bCs w:val="0"/>
              </w:rPr>
              <w:t>Locken</w:t>
            </w:r>
            <w:proofErr w:type="spellEnd"/>
          </w:p>
        </w:tc>
        <w:tc>
          <w:tcPr>
            <w:tcW w:w="5386" w:type="dxa"/>
          </w:tcPr>
          <w:p w14:paraId="5F3DD1B1" w14:textId="4397E097"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PricewaterhouseCoopers LLP</w:t>
            </w:r>
          </w:p>
        </w:tc>
      </w:tr>
      <w:tr w:rsidR="00A310FF" w:rsidRPr="00CC7258" w14:paraId="33534C37"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B871FC7" w14:textId="1D9FA31D" w:rsidR="00A310FF" w:rsidRDefault="00A310FF" w:rsidP="002E18DD">
            <w:pPr>
              <w:spacing w:before="20" w:after="20"/>
              <w:jc w:val="both"/>
              <w:rPr>
                <w:rFonts w:ascii="Calibri" w:hAnsi="Calibri"/>
                <w:b w:val="0"/>
                <w:bCs w:val="0"/>
              </w:rPr>
            </w:pPr>
            <w:r>
              <w:rPr>
                <w:rFonts w:ascii="Calibri" w:hAnsi="Calibri"/>
                <w:b w:val="0"/>
                <w:bCs w:val="0"/>
              </w:rPr>
              <w:t xml:space="preserve">Sabina </w:t>
            </w:r>
            <w:proofErr w:type="spellStart"/>
            <w:r>
              <w:rPr>
                <w:rFonts w:ascii="Calibri" w:hAnsi="Calibri"/>
                <w:b w:val="0"/>
                <w:bCs w:val="0"/>
              </w:rPr>
              <w:t>Marguiles</w:t>
            </w:r>
            <w:proofErr w:type="spellEnd"/>
            <w:r>
              <w:rPr>
                <w:rFonts w:ascii="Calibri" w:hAnsi="Calibri"/>
                <w:b w:val="0"/>
                <w:bCs w:val="0"/>
              </w:rPr>
              <w:t xml:space="preserve"> </w:t>
            </w:r>
          </w:p>
        </w:tc>
        <w:tc>
          <w:tcPr>
            <w:tcW w:w="5386" w:type="dxa"/>
          </w:tcPr>
          <w:p w14:paraId="09DB0B75" w14:textId="10414DCE"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LexisNexis</w:t>
            </w:r>
          </w:p>
        </w:tc>
      </w:tr>
      <w:tr w:rsidR="00A310FF" w:rsidRPr="00CC7258" w14:paraId="5F8CD54F"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5E33FFDB" w14:textId="38E019C8" w:rsidR="00A310FF" w:rsidRDefault="00A310FF" w:rsidP="002E18DD">
            <w:pPr>
              <w:spacing w:before="20" w:after="20"/>
              <w:jc w:val="both"/>
              <w:rPr>
                <w:rFonts w:ascii="Calibri" w:hAnsi="Calibri"/>
                <w:b w:val="0"/>
                <w:bCs w:val="0"/>
              </w:rPr>
            </w:pPr>
            <w:r>
              <w:rPr>
                <w:rFonts w:ascii="Calibri" w:hAnsi="Calibri"/>
                <w:b w:val="0"/>
                <w:bCs w:val="0"/>
              </w:rPr>
              <w:t>Zoe Peck</w:t>
            </w:r>
          </w:p>
        </w:tc>
        <w:tc>
          <w:tcPr>
            <w:tcW w:w="5386" w:type="dxa"/>
          </w:tcPr>
          <w:p w14:paraId="0BEB5E49" w14:textId="0849DE95"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proofErr w:type="spellStart"/>
            <w:r>
              <w:rPr>
                <w:rFonts w:ascii="Calibri" w:hAnsi="Calibri"/>
              </w:rPr>
              <w:t>Mazars</w:t>
            </w:r>
            <w:proofErr w:type="spellEnd"/>
            <w:r>
              <w:rPr>
                <w:rFonts w:ascii="Calibri" w:hAnsi="Calibri"/>
              </w:rPr>
              <w:t xml:space="preserve"> LLP</w:t>
            </w:r>
          </w:p>
        </w:tc>
      </w:tr>
      <w:tr w:rsidR="00A310FF" w:rsidRPr="00CC7258" w14:paraId="3F916FB6"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5ADB0F3" w14:textId="49778144" w:rsidR="00A310FF" w:rsidRDefault="00A310FF" w:rsidP="002E18DD">
            <w:pPr>
              <w:spacing w:before="20" w:after="20"/>
              <w:jc w:val="both"/>
              <w:rPr>
                <w:rFonts w:ascii="Calibri" w:hAnsi="Calibri"/>
                <w:b w:val="0"/>
                <w:bCs w:val="0"/>
              </w:rPr>
            </w:pPr>
            <w:r>
              <w:rPr>
                <w:rFonts w:ascii="Calibri" w:hAnsi="Calibri"/>
                <w:b w:val="0"/>
                <w:bCs w:val="0"/>
              </w:rPr>
              <w:t>Dan Robertson</w:t>
            </w:r>
          </w:p>
        </w:tc>
        <w:tc>
          <w:tcPr>
            <w:tcW w:w="5386" w:type="dxa"/>
          </w:tcPr>
          <w:p w14:paraId="236A4979" w14:textId="4930B91D"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RSM</w:t>
            </w:r>
          </w:p>
        </w:tc>
      </w:tr>
      <w:tr w:rsidR="00A310FF" w:rsidRPr="00CC7258" w14:paraId="28EE85A8"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FA8AFC0" w14:textId="0E749013" w:rsidR="00A310FF" w:rsidRDefault="00A310FF" w:rsidP="002E18DD">
            <w:pPr>
              <w:spacing w:before="20" w:after="20"/>
              <w:jc w:val="both"/>
              <w:rPr>
                <w:rFonts w:ascii="Calibri" w:hAnsi="Calibri"/>
                <w:b w:val="0"/>
                <w:bCs w:val="0"/>
              </w:rPr>
            </w:pPr>
            <w:r>
              <w:rPr>
                <w:rFonts w:ascii="Calibri" w:hAnsi="Calibri"/>
                <w:b w:val="0"/>
                <w:bCs w:val="0"/>
              </w:rPr>
              <w:t xml:space="preserve">Matthew </w:t>
            </w:r>
            <w:proofErr w:type="spellStart"/>
            <w:r>
              <w:rPr>
                <w:rFonts w:ascii="Calibri" w:hAnsi="Calibri"/>
                <w:b w:val="0"/>
                <w:bCs w:val="0"/>
              </w:rPr>
              <w:t>Rowbotham</w:t>
            </w:r>
            <w:proofErr w:type="spellEnd"/>
          </w:p>
        </w:tc>
        <w:tc>
          <w:tcPr>
            <w:tcW w:w="5386" w:type="dxa"/>
          </w:tcPr>
          <w:p w14:paraId="756B1AC2" w14:textId="28C7D5A3"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 xml:space="preserve">Lewis </w:t>
            </w:r>
            <w:proofErr w:type="spellStart"/>
            <w:r>
              <w:rPr>
                <w:rFonts w:ascii="Calibri" w:hAnsi="Calibri"/>
              </w:rPr>
              <w:t>Silkin</w:t>
            </w:r>
            <w:proofErr w:type="spellEnd"/>
          </w:p>
        </w:tc>
      </w:tr>
      <w:tr w:rsidR="00A310FF" w:rsidRPr="00CC7258" w14:paraId="5B3A70F7"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4D5F1F3F" w14:textId="6C0CA399" w:rsidR="00A310FF" w:rsidRDefault="00A310FF" w:rsidP="002E18DD">
            <w:pPr>
              <w:spacing w:before="20" w:after="20"/>
              <w:jc w:val="both"/>
              <w:rPr>
                <w:rFonts w:ascii="Calibri" w:hAnsi="Calibri"/>
                <w:b w:val="0"/>
                <w:bCs w:val="0"/>
              </w:rPr>
            </w:pPr>
            <w:r>
              <w:rPr>
                <w:rFonts w:ascii="Calibri" w:hAnsi="Calibri"/>
                <w:b w:val="0"/>
                <w:bCs w:val="0"/>
              </w:rPr>
              <w:t>Ray Smith</w:t>
            </w:r>
          </w:p>
        </w:tc>
        <w:tc>
          <w:tcPr>
            <w:tcW w:w="5386" w:type="dxa"/>
          </w:tcPr>
          <w:p w14:paraId="553E89D4" w14:textId="3BED05B1"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Clyde &amp; Co LLP</w:t>
            </w:r>
          </w:p>
        </w:tc>
      </w:tr>
      <w:tr w:rsidR="00A310FF" w:rsidRPr="00CC7258" w14:paraId="2AC228EA"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B80F761" w14:textId="75A86FC6" w:rsidR="00A310FF" w:rsidRDefault="00A310FF" w:rsidP="002E18DD">
            <w:pPr>
              <w:spacing w:before="20" w:after="20"/>
              <w:jc w:val="both"/>
              <w:rPr>
                <w:rFonts w:ascii="Calibri" w:hAnsi="Calibri"/>
                <w:b w:val="0"/>
                <w:bCs w:val="0"/>
              </w:rPr>
            </w:pPr>
            <w:r>
              <w:rPr>
                <w:rFonts w:ascii="Calibri" w:hAnsi="Calibri"/>
                <w:b w:val="0"/>
                <w:bCs w:val="0"/>
              </w:rPr>
              <w:t xml:space="preserve">Andrew Snowdon </w:t>
            </w:r>
          </w:p>
        </w:tc>
        <w:tc>
          <w:tcPr>
            <w:tcW w:w="5386" w:type="dxa"/>
          </w:tcPr>
          <w:p w14:paraId="0D9F13AA" w14:textId="59D4E5CE" w:rsid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UHY Hacker Young</w:t>
            </w:r>
          </w:p>
        </w:tc>
      </w:tr>
      <w:tr w:rsidR="00A310FF" w:rsidRPr="00CC7258" w14:paraId="6DA1A09F"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3334C9E" w14:textId="6C9BE101" w:rsidR="00A310FF" w:rsidRDefault="00A310FF" w:rsidP="002E18DD">
            <w:pPr>
              <w:spacing w:before="20" w:after="20"/>
              <w:jc w:val="both"/>
              <w:rPr>
                <w:rFonts w:ascii="Calibri" w:hAnsi="Calibri"/>
                <w:b w:val="0"/>
                <w:bCs w:val="0"/>
              </w:rPr>
            </w:pPr>
            <w:r>
              <w:rPr>
                <w:rFonts w:ascii="Calibri" w:hAnsi="Calibri"/>
                <w:b w:val="0"/>
                <w:bCs w:val="0"/>
              </w:rPr>
              <w:t xml:space="preserve">Peter </w:t>
            </w:r>
            <w:proofErr w:type="spellStart"/>
            <w:r>
              <w:rPr>
                <w:rFonts w:ascii="Calibri" w:hAnsi="Calibri"/>
                <w:b w:val="0"/>
                <w:bCs w:val="0"/>
              </w:rPr>
              <w:t>Vertannes</w:t>
            </w:r>
            <w:proofErr w:type="spellEnd"/>
            <w:r>
              <w:rPr>
                <w:rFonts w:ascii="Calibri" w:hAnsi="Calibri"/>
                <w:b w:val="0"/>
                <w:bCs w:val="0"/>
              </w:rPr>
              <w:t xml:space="preserve"> </w:t>
            </w:r>
          </w:p>
        </w:tc>
        <w:tc>
          <w:tcPr>
            <w:tcW w:w="5386" w:type="dxa"/>
          </w:tcPr>
          <w:p w14:paraId="120F3CF1" w14:textId="3313DD46" w:rsidR="00A310FF" w:rsidRDefault="00A310FF"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KPMG LLP</w:t>
            </w:r>
          </w:p>
        </w:tc>
      </w:tr>
    </w:tbl>
    <w:p w14:paraId="2E0F8D66" w14:textId="08D0B15C" w:rsidR="003833EF" w:rsidRPr="003833EF" w:rsidRDefault="003833EF" w:rsidP="001A2A5C">
      <w:pPr>
        <w:rPr>
          <w:b/>
        </w:rPr>
        <w:sectPr w:rsidR="003833EF" w:rsidRPr="003833EF" w:rsidSect="00F27B7A">
          <w:pgSz w:w="11906" w:h="16838"/>
          <w:pgMar w:top="1134" w:right="1134" w:bottom="1134" w:left="1134" w:header="708" w:footer="708" w:gutter="0"/>
          <w:cols w:space="708"/>
          <w:docGrid w:linePitch="360"/>
        </w:sectPr>
      </w:pPr>
    </w:p>
    <w:p w14:paraId="291E9BF6" w14:textId="77777777" w:rsidR="001A2A5C" w:rsidRPr="00EA325E" w:rsidRDefault="001A2A5C" w:rsidP="001A2A5C">
      <w:pPr>
        <w:rPr>
          <w:b/>
        </w:rPr>
      </w:pPr>
      <w:r w:rsidRPr="0017626E">
        <w:rPr>
          <w:b/>
        </w:rPr>
        <w:lastRenderedPageBreak/>
        <w:t xml:space="preserve">Quoted Companies Alliance </w:t>
      </w:r>
      <w:r w:rsidRPr="005F44AD">
        <w:rPr>
          <w:b/>
          <w:i/>
        </w:rPr>
        <w:t>Share Schemes Expert Group</w:t>
      </w:r>
    </w:p>
    <w:tbl>
      <w:tblPr>
        <w:tblStyle w:val="PlainTable1"/>
        <w:tblW w:w="9746" w:type="dxa"/>
        <w:tblLook w:val="04A0" w:firstRow="1" w:lastRow="0" w:firstColumn="1" w:lastColumn="0" w:noHBand="0" w:noVBand="1"/>
      </w:tblPr>
      <w:tblGrid>
        <w:gridCol w:w="4360"/>
        <w:gridCol w:w="5386"/>
      </w:tblGrid>
      <w:tr w:rsidR="00A310FF" w:rsidRPr="00CC7258" w14:paraId="3A1F1CDC" w14:textId="77777777" w:rsidTr="002E18DD">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3046CB2" w14:textId="0E8B67C8" w:rsidR="00A310FF" w:rsidRPr="00A310FF" w:rsidRDefault="00A310FF" w:rsidP="002E18DD">
            <w:pPr>
              <w:spacing w:before="20" w:after="20"/>
              <w:jc w:val="both"/>
              <w:rPr>
                <w:rFonts w:ascii="Calibri" w:hAnsi="Calibri"/>
                <w:b w:val="0"/>
                <w:bCs w:val="0"/>
              </w:rPr>
            </w:pPr>
            <w:r w:rsidRPr="00A310FF">
              <w:rPr>
                <w:rFonts w:ascii="Calibri" w:hAnsi="Calibri"/>
                <w:b w:val="0"/>
                <w:bCs w:val="0"/>
              </w:rPr>
              <w:t>Fiona Bell (Chair)</w:t>
            </w:r>
          </w:p>
        </w:tc>
        <w:tc>
          <w:tcPr>
            <w:tcW w:w="5386" w:type="dxa"/>
          </w:tcPr>
          <w:p w14:paraId="4BCAB218" w14:textId="15190E4B" w:rsidR="00A310FF" w:rsidRPr="00A310FF" w:rsidRDefault="00A310FF" w:rsidP="002E18DD">
            <w:pPr>
              <w:spacing w:before="20" w:after="20"/>
              <w:jc w:val="both"/>
              <w:cnfStyle w:val="100000000000" w:firstRow="1" w:lastRow="0" w:firstColumn="0" w:lastColumn="0" w:oddVBand="0" w:evenVBand="0" w:oddHBand="0" w:evenHBand="0" w:firstRowFirstColumn="0" w:firstRowLastColumn="0" w:lastRowFirstColumn="0" w:lastRowLastColumn="0"/>
              <w:rPr>
                <w:rFonts w:ascii="Calibri" w:hAnsi="Calibri"/>
                <w:b w:val="0"/>
                <w:bCs w:val="0"/>
              </w:rPr>
            </w:pPr>
            <w:r>
              <w:rPr>
                <w:rFonts w:ascii="Calibri" w:hAnsi="Calibri"/>
                <w:b w:val="0"/>
                <w:bCs w:val="0"/>
              </w:rPr>
              <w:t>RSM</w:t>
            </w:r>
          </w:p>
        </w:tc>
      </w:tr>
      <w:tr w:rsidR="00A310FF" w:rsidRPr="00CC7258" w14:paraId="1226C335"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56A2EB1A" w14:textId="7D461448" w:rsidR="00A310FF" w:rsidRPr="00A310FF" w:rsidRDefault="00A310FF" w:rsidP="002E18DD">
            <w:pPr>
              <w:spacing w:before="20" w:after="20"/>
              <w:jc w:val="both"/>
              <w:rPr>
                <w:rFonts w:ascii="Calibri" w:hAnsi="Calibri"/>
                <w:b w:val="0"/>
                <w:bCs w:val="0"/>
              </w:rPr>
            </w:pPr>
            <w:r>
              <w:rPr>
                <w:rFonts w:ascii="Calibri" w:hAnsi="Calibri"/>
                <w:b w:val="0"/>
                <w:bCs w:val="0"/>
              </w:rPr>
              <w:t>Daniel Hepburn (Deputy Chair)</w:t>
            </w:r>
          </w:p>
        </w:tc>
        <w:tc>
          <w:tcPr>
            <w:tcW w:w="5386" w:type="dxa"/>
          </w:tcPr>
          <w:p w14:paraId="432233B7" w14:textId="0485017A" w:rsidR="00A310FF" w:rsidRPr="00A310FF" w:rsidRDefault="00A310FF"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PricewaterhouseCoopers LLP</w:t>
            </w:r>
          </w:p>
        </w:tc>
      </w:tr>
      <w:tr w:rsidR="00A310FF" w:rsidRPr="00CC7258" w14:paraId="2016876C"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CD2EA90" w14:textId="0E5438F9" w:rsidR="00A310FF" w:rsidRDefault="005F17BE" w:rsidP="002E18DD">
            <w:pPr>
              <w:spacing w:before="20" w:after="20"/>
              <w:jc w:val="both"/>
              <w:rPr>
                <w:rFonts w:ascii="Calibri" w:hAnsi="Calibri"/>
                <w:b w:val="0"/>
                <w:bCs w:val="0"/>
              </w:rPr>
            </w:pPr>
            <w:r>
              <w:rPr>
                <w:rFonts w:ascii="Calibri" w:hAnsi="Calibri"/>
                <w:b w:val="0"/>
                <w:bCs w:val="0"/>
              </w:rPr>
              <w:t>Tristan Adams</w:t>
            </w:r>
          </w:p>
        </w:tc>
        <w:tc>
          <w:tcPr>
            <w:tcW w:w="5386" w:type="dxa"/>
          </w:tcPr>
          <w:p w14:paraId="027D684A" w14:textId="501A6A51" w:rsidR="00A310FF"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Link Asset Services</w:t>
            </w:r>
          </w:p>
        </w:tc>
      </w:tr>
      <w:tr w:rsidR="005F17BE" w:rsidRPr="00CC7258" w14:paraId="596AC360"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1BCE632" w14:textId="6FD6302F" w:rsidR="005F17BE" w:rsidRDefault="005F17BE" w:rsidP="002E18DD">
            <w:pPr>
              <w:spacing w:before="20" w:after="20"/>
              <w:jc w:val="both"/>
              <w:rPr>
                <w:rFonts w:ascii="Calibri" w:hAnsi="Calibri"/>
                <w:b w:val="0"/>
                <w:bCs w:val="0"/>
              </w:rPr>
            </w:pPr>
            <w:r>
              <w:rPr>
                <w:rFonts w:ascii="Calibri" w:hAnsi="Calibri"/>
                <w:b w:val="0"/>
                <w:bCs w:val="0"/>
              </w:rPr>
              <w:t>Barbara Allen</w:t>
            </w:r>
          </w:p>
        </w:tc>
        <w:tc>
          <w:tcPr>
            <w:tcW w:w="5386" w:type="dxa"/>
          </w:tcPr>
          <w:p w14:paraId="76D80CAA" w14:textId="07037403"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Stephenson Harwood</w:t>
            </w:r>
          </w:p>
        </w:tc>
      </w:tr>
      <w:tr w:rsidR="005F17BE" w:rsidRPr="00CC7258" w14:paraId="59E46E6B"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DB58C1A" w14:textId="2B6CE2E7" w:rsidR="005F17BE" w:rsidRDefault="005F17BE" w:rsidP="002E18DD">
            <w:pPr>
              <w:spacing w:before="20" w:after="20"/>
              <w:jc w:val="both"/>
              <w:rPr>
                <w:rFonts w:ascii="Calibri" w:hAnsi="Calibri"/>
                <w:b w:val="0"/>
                <w:bCs w:val="0"/>
              </w:rPr>
            </w:pPr>
            <w:r>
              <w:rPr>
                <w:rFonts w:ascii="Calibri" w:hAnsi="Calibri"/>
                <w:b w:val="0"/>
                <w:bCs w:val="0"/>
              </w:rPr>
              <w:t>Emma Bailey</w:t>
            </w:r>
          </w:p>
        </w:tc>
        <w:tc>
          <w:tcPr>
            <w:tcW w:w="5386" w:type="dxa"/>
          </w:tcPr>
          <w:p w14:paraId="78CC8A59" w14:textId="0B497E34"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Fox Williams LLP</w:t>
            </w:r>
          </w:p>
        </w:tc>
      </w:tr>
      <w:tr w:rsidR="005F17BE" w:rsidRPr="00CC7258" w14:paraId="5B1C2706"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6694DF77" w14:textId="6211FBF3" w:rsidR="005F17BE" w:rsidRDefault="005F17BE" w:rsidP="002E18DD">
            <w:pPr>
              <w:spacing w:before="20" w:after="20"/>
              <w:jc w:val="both"/>
              <w:rPr>
                <w:rFonts w:ascii="Calibri" w:hAnsi="Calibri"/>
                <w:b w:val="0"/>
                <w:bCs w:val="0"/>
              </w:rPr>
            </w:pPr>
            <w:r>
              <w:rPr>
                <w:rFonts w:ascii="Calibri" w:hAnsi="Calibri"/>
                <w:b w:val="0"/>
                <w:bCs w:val="0"/>
              </w:rPr>
              <w:t>Dave Bareham</w:t>
            </w:r>
          </w:p>
        </w:tc>
        <w:tc>
          <w:tcPr>
            <w:tcW w:w="5386" w:type="dxa"/>
          </w:tcPr>
          <w:p w14:paraId="784DC8C5" w14:textId="66FB9342"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Smith &amp; Williamson LLP</w:t>
            </w:r>
          </w:p>
        </w:tc>
      </w:tr>
      <w:tr w:rsidR="005F17BE" w:rsidRPr="00CC7258" w14:paraId="0C71AEA5"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1BA2522D" w14:textId="0045A871" w:rsidR="005F17BE" w:rsidRDefault="005F17BE" w:rsidP="002E18DD">
            <w:pPr>
              <w:spacing w:before="20" w:after="20"/>
              <w:jc w:val="both"/>
              <w:rPr>
                <w:rFonts w:ascii="Calibri" w:hAnsi="Calibri"/>
                <w:b w:val="0"/>
                <w:bCs w:val="0"/>
              </w:rPr>
            </w:pPr>
            <w:r>
              <w:rPr>
                <w:rFonts w:ascii="Calibri" w:hAnsi="Calibri"/>
                <w:b w:val="0"/>
                <w:bCs w:val="0"/>
              </w:rPr>
              <w:t xml:space="preserve">Martin Benson </w:t>
            </w:r>
          </w:p>
        </w:tc>
        <w:tc>
          <w:tcPr>
            <w:tcW w:w="5386" w:type="dxa"/>
          </w:tcPr>
          <w:p w14:paraId="3D37457D" w14:textId="0B5BA8E2"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RSM</w:t>
            </w:r>
          </w:p>
        </w:tc>
      </w:tr>
      <w:tr w:rsidR="005F17BE" w:rsidRPr="00CC7258" w14:paraId="27E46D3E"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470EAEEF" w14:textId="013FA9E3" w:rsidR="005F17BE" w:rsidRDefault="005F17BE" w:rsidP="002E18DD">
            <w:pPr>
              <w:spacing w:before="20" w:after="20"/>
              <w:jc w:val="both"/>
              <w:rPr>
                <w:rFonts w:ascii="Calibri" w:hAnsi="Calibri"/>
                <w:b w:val="0"/>
                <w:bCs w:val="0"/>
              </w:rPr>
            </w:pPr>
            <w:r>
              <w:rPr>
                <w:rFonts w:ascii="Calibri" w:hAnsi="Calibri"/>
                <w:b w:val="0"/>
                <w:bCs w:val="0"/>
              </w:rPr>
              <w:t>Danny Blum</w:t>
            </w:r>
          </w:p>
        </w:tc>
        <w:tc>
          <w:tcPr>
            <w:tcW w:w="5386" w:type="dxa"/>
          </w:tcPr>
          <w:p w14:paraId="1959DF9E" w14:textId="02650C16"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Eversheds Sutherland</w:t>
            </w:r>
          </w:p>
        </w:tc>
      </w:tr>
      <w:tr w:rsidR="005F17BE" w:rsidRPr="00CC7258" w14:paraId="3260A7B2"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30CBBF2" w14:textId="410E3639" w:rsidR="005F17BE" w:rsidRDefault="005F17BE" w:rsidP="002E18DD">
            <w:pPr>
              <w:spacing w:before="20" w:after="20"/>
              <w:jc w:val="both"/>
              <w:rPr>
                <w:rFonts w:ascii="Calibri" w:hAnsi="Calibri"/>
                <w:b w:val="0"/>
                <w:bCs w:val="0"/>
              </w:rPr>
            </w:pPr>
            <w:r>
              <w:rPr>
                <w:rFonts w:ascii="Calibri" w:hAnsi="Calibri"/>
                <w:b w:val="0"/>
                <w:bCs w:val="0"/>
              </w:rPr>
              <w:t>Michael Carter</w:t>
            </w:r>
          </w:p>
        </w:tc>
        <w:tc>
          <w:tcPr>
            <w:tcW w:w="5386" w:type="dxa"/>
          </w:tcPr>
          <w:p w14:paraId="3A92F227" w14:textId="59430B63"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Osborne Clarke</w:t>
            </w:r>
          </w:p>
        </w:tc>
      </w:tr>
      <w:tr w:rsidR="005F17BE" w:rsidRPr="00CC7258" w14:paraId="4AD56177"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1D0AA057" w14:textId="7708EA58" w:rsidR="005F17BE" w:rsidRDefault="005F17BE" w:rsidP="002E18DD">
            <w:pPr>
              <w:spacing w:before="20" w:after="20"/>
              <w:jc w:val="both"/>
              <w:rPr>
                <w:rFonts w:ascii="Calibri" w:hAnsi="Calibri"/>
                <w:b w:val="0"/>
                <w:bCs w:val="0"/>
              </w:rPr>
            </w:pPr>
            <w:r>
              <w:rPr>
                <w:rFonts w:ascii="Calibri" w:hAnsi="Calibri"/>
                <w:b w:val="0"/>
                <w:bCs w:val="0"/>
              </w:rPr>
              <w:t xml:space="preserve">Stephen </w:t>
            </w:r>
            <w:proofErr w:type="spellStart"/>
            <w:r>
              <w:rPr>
                <w:rFonts w:ascii="Calibri" w:hAnsi="Calibri"/>
                <w:b w:val="0"/>
                <w:bCs w:val="0"/>
              </w:rPr>
              <w:t>Chater</w:t>
            </w:r>
            <w:proofErr w:type="spellEnd"/>
          </w:p>
        </w:tc>
        <w:tc>
          <w:tcPr>
            <w:tcW w:w="5386" w:type="dxa"/>
          </w:tcPr>
          <w:p w14:paraId="3BB5DC68" w14:textId="2C132330"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 xml:space="preserve">Postlethwaite Solicitors </w:t>
            </w:r>
          </w:p>
        </w:tc>
      </w:tr>
      <w:tr w:rsidR="005F17BE" w:rsidRPr="00CC7258" w14:paraId="5D2B1DC0"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76AB57F2" w14:textId="5A2132B4" w:rsidR="005F17BE" w:rsidRDefault="005F17BE" w:rsidP="002E18DD">
            <w:pPr>
              <w:spacing w:before="20" w:after="20"/>
              <w:jc w:val="both"/>
              <w:rPr>
                <w:rFonts w:ascii="Calibri" w:hAnsi="Calibri"/>
                <w:b w:val="0"/>
                <w:bCs w:val="0"/>
              </w:rPr>
            </w:pPr>
            <w:r>
              <w:rPr>
                <w:rFonts w:ascii="Calibri" w:hAnsi="Calibri"/>
                <w:b w:val="0"/>
                <w:bCs w:val="0"/>
              </w:rPr>
              <w:t>Sara Cohen</w:t>
            </w:r>
          </w:p>
        </w:tc>
        <w:tc>
          <w:tcPr>
            <w:tcW w:w="5386" w:type="dxa"/>
          </w:tcPr>
          <w:p w14:paraId="2659C6C4" w14:textId="46A30911"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Lewis </w:t>
            </w:r>
            <w:proofErr w:type="spellStart"/>
            <w:r>
              <w:rPr>
                <w:rFonts w:ascii="Calibri" w:hAnsi="Calibri"/>
              </w:rPr>
              <w:t>Silkin</w:t>
            </w:r>
            <w:proofErr w:type="spellEnd"/>
          </w:p>
        </w:tc>
      </w:tr>
      <w:tr w:rsidR="005F17BE" w:rsidRPr="00CC7258" w14:paraId="2AB56DBC"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11ECC5DE" w14:textId="0D3F9B9E" w:rsidR="005F17BE" w:rsidRDefault="005F17BE" w:rsidP="002E18DD">
            <w:pPr>
              <w:spacing w:before="20" w:after="20"/>
              <w:jc w:val="both"/>
              <w:rPr>
                <w:rFonts w:ascii="Calibri" w:hAnsi="Calibri"/>
                <w:b w:val="0"/>
                <w:bCs w:val="0"/>
              </w:rPr>
            </w:pPr>
            <w:r>
              <w:rPr>
                <w:rFonts w:ascii="Calibri" w:hAnsi="Calibri"/>
                <w:b w:val="0"/>
                <w:bCs w:val="0"/>
              </w:rPr>
              <w:t>David Daws</w:t>
            </w:r>
          </w:p>
        </w:tc>
        <w:tc>
          <w:tcPr>
            <w:tcW w:w="5386" w:type="dxa"/>
          </w:tcPr>
          <w:p w14:paraId="436F950A" w14:textId="5C41B977"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Blake Morgan</w:t>
            </w:r>
          </w:p>
        </w:tc>
      </w:tr>
      <w:tr w:rsidR="005F17BE" w:rsidRPr="00CC7258" w14:paraId="20B5BB68"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10A4C4EF" w14:textId="76E348E3" w:rsidR="005F17BE" w:rsidRDefault="005F17BE" w:rsidP="002E18DD">
            <w:pPr>
              <w:spacing w:before="20" w:after="20"/>
              <w:jc w:val="both"/>
              <w:rPr>
                <w:rFonts w:ascii="Calibri" w:hAnsi="Calibri"/>
                <w:b w:val="0"/>
                <w:bCs w:val="0"/>
              </w:rPr>
            </w:pPr>
            <w:r>
              <w:rPr>
                <w:rFonts w:ascii="Calibri" w:hAnsi="Calibri"/>
                <w:b w:val="0"/>
                <w:bCs w:val="0"/>
              </w:rPr>
              <w:t>Stephen Diosi</w:t>
            </w:r>
          </w:p>
        </w:tc>
        <w:tc>
          <w:tcPr>
            <w:tcW w:w="5386" w:type="dxa"/>
          </w:tcPr>
          <w:p w14:paraId="1C23B3CF" w14:textId="087030F1"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proofErr w:type="spellStart"/>
            <w:r>
              <w:rPr>
                <w:rFonts w:ascii="Calibri" w:hAnsi="Calibri"/>
              </w:rPr>
              <w:t>Mishcon</w:t>
            </w:r>
            <w:proofErr w:type="spellEnd"/>
            <w:r>
              <w:rPr>
                <w:rFonts w:ascii="Calibri" w:hAnsi="Calibri"/>
              </w:rPr>
              <w:t xml:space="preserve"> De </w:t>
            </w:r>
            <w:proofErr w:type="spellStart"/>
            <w:r>
              <w:rPr>
                <w:rFonts w:ascii="Calibri" w:hAnsi="Calibri"/>
              </w:rPr>
              <w:t>Reya</w:t>
            </w:r>
            <w:proofErr w:type="spellEnd"/>
          </w:p>
        </w:tc>
      </w:tr>
      <w:tr w:rsidR="005F17BE" w:rsidRPr="00CC7258" w14:paraId="7404A8D9"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4328E80" w14:textId="71CE87A3" w:rsidR="005F17BE" w:rsidRDefault="005F17BE" w:rsidP="002E18DD">
            <w:pPr>
              <w:spacing w:before="20" w:after="20"/>
              <w:jc w:val="both"/>
              <w:rPr>
                <w:rFonts w:ascii="Calibri" w:hAnsi="Calibri"/>
                <w:b w:val="0"/>
                <w:bCs w:val="0"/>
              </w:rPr>
            </w:pPr>
            <w:r>
              <w:rPr>
                <w:rFonts w:ascii="Calibri" w:hAnsi="Calibri"/>
                <w:b w:val="0"/>
                <w:bCs w:val="0"/>
              </w:rPr>
              <w:t xml:space="preserve">Suzy </w:t>
            </w:r>
            <w:proofErr w:type="spellStart"/>
            <w:r>
              <w:rPr>
                <w:rFonts w:ascii="Calibri" w:hAnsi="Calibri"/>
                <w:b w:val="0"/>
                <w:bCs w:val="0"/>
              </w:rPr>
              <w:t>Giele</w:t>
            </w:r>
            <w:proofErr w:type="spellEnd"/>
          </w:p>
        </w:tc>
        <w:tc>
          <w:tcPr>
            <w:tcW w:w="5386" w:type="dxa"/>
          </w:tcPr>
          <w:p w14:paraId="1291876A" w14:textId="1B366D55"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LexisNexis</w:t>
            </w:r>
          </w:p>
        </w:tc>
      </w:tr>
      <w:tr w:rsidR="005F17BE" w:rsidRPr="00CC7258" w14:paraId="3E742D48"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6AA3992" w14:textId="09F9E6BF" w:rsidR="005F17BE" w:rsidRDefault="005F17BE" w:rsidP="002E18DD">
            <w:pPr>
              <w:spacing w:before="20" w:after="20"/>
              <w:jc w:val="both"/>
              <w:rPr>
                <w:rFonts w:ascii="Calibri" w:hAnsi="Calibri"/>
                <w:b w:val="0"/>
                <w:bCs w:val="0"/>
              </w:rPr>
            </w:pPr>
            <w:r>
              <w:rPr>
                <w:rFonts w:ascii="Calibri" w:hAnsi="Calibri"/>
                <w:b w:val="0"/>
                <w:bCs w:val="0"/>
              </w:rPr>
              <w:t xml:space="preserve">Andy Goodman </w:t>
            </w:r>
          </w:p>
        </w:tc>
        <w:tc>
          <w:tcPr>
            <w:tcW w:w="5386" w:type="dxa"/>
          </w:tcPr>
          <w:p w14:paraId="3B6F78A5" w14:textId="5315DAB8"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BDO LLP</w:t>
            </w:r>
          </w:p>
        </w:tc>
      </w:tr>
      <w:tr w:rsidR="005F17BE" w:rsidRPr="00CC7258" w14:paraId="1C39BF05"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0FC974A" w14:textId="6E61D4F1" w:rsidR="005F17BE" w:rsidRDefault="005F17BE" w:rsidP="002E18DD">
            <w:pPr>
              <w:spacing w:before="20" w:after="20"/>
              <w:jc w:val="both"/>
              <w:rPr>
                <w:rFonts w:ascii="Calibri" w:hAnsi="Calibri"/>
                <w:b w:val="0"/>
                <w:bCs w:val="0"/>
              </w:rPr>
            </w:pPr>
            <w:r>
              <w:rPr>
                <w:rFonts w:ascii="Calibri" w:hAnsi="Calibri"/>
                <w:b w:val="0"/>
                <w:bCs w:val="0"/>
              </w:rPr>
              <w:t>Elissavet Grout</w:t>
            </w:r>
          </w:p>
        </w:tc>
        <w:tc>
          <w:tcPr>
            <w:tcW w:w="5386" w:type="dxa"/>
          </w:tcPr>
          <w:p w14:paraId="6544D204" w14:textId="3A330F3F"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Travers Smith LLP</w:t>
            </w:r>
          </w:p>
        </w:tc>
      </w:tr>
      <w:tr w:rsidR="005F17BE" w:rsidRPr="00CC7258" w14:paraId="62FF62CA"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1AFD4A4A" w14:textId="7A7DBDF1" w:rsidR="005F17BE" w:rsidRDefault="005F17BE" w:rsidP="002E18DD">
            <w:pPr>
              <w:spacing w:before="20" w:after="20"/>
              <w:jc w:val="both"/>
              <w:rPr>
                <w:rFonts w:ascii="Calibri" w:hAnsi="Calibri"/>
                <w:b w:val="0"/>
                <w:bCs w:val="0"/>
              </w:rPr>
            </w:pPr>
            <w:r>
              <w:rPr>
                <w:rFonts w:ascii="Calibri" w:hAnsi="Calibri"/>
                <w:b w:val="0"/>
                <w:bCs w:val="0"/>
              </w:rPr>
              <w:t xml:space="preserve">Juliet </w:t>
            </w:r>
            <w:proofErr w:type="spellStart"/>
            <w:r>
              <w:rPr>
                <w:rFonts w:ascii="Calibri" w:hAnsi="Calibri"/>
                <w:b w:val="0"/>
                <w:bCs w:val="0"/>
              </w:rPr>
              <w:t>Halfhead</w:t>
            </w:r>
            <w:proofErr w:type="spellEnd"/>
          </w:p>
        </w:tc>
        <w:tc>
          <w:tcPr>
            <w:tcW w:w="5386" w:type="dxa"/>
          </w:tcPr>
          <w:p w14:paraId="0217B820" w14:textId="44ECC03C"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Deloitte LLP</w:t>
            </w:r>
          </w:p>
        </w:tc>
      </w:tr>
      <w:tr w:rsidR="005F17BE" w:rsidRPr="00CC7258" w14:paraId="0BF2F4D3"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6837A3BA" w14:textId="02A6F3A9" w:rsidR="005F17BE" w:rsidRDefault="005F17BE" w:rsidP="002E18DD">
            <w:pPr>
              <w:spacing w:before="20" w:after="20"/>
              <w:jc w:val="both"/>
              <w:rPr>
                <w:rFonts w:ascii="Calibri" w:hAnsi="Calibri"/>
                <w:b w:val="0"/>
                <w:bCs w:val="0"/>
              </w:rPr>
            </w:pPr>
            <w:r>
              <w:rPr>
                <w:rFonts w:ascii="Calibri" w:hAnsi="Calibri"/>
                <w:b w:val="0"/>
                <w:bCs w:val="0"/>
              </w:rPr>
              <w:t>Caroline Harwood</w:t>
            </w:r>
          </w:p>
        </w:tc>
        <w:tc>
          <w:tcPr>
            <w:tcW w:w="5386" w:type="dxa"/>
          </w:tcPr>
          <w:p w14:paraId="3991082A" w14:textId="59DE45ED"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Crowe UK LLP</w:t>
            </w:r>
          </w:p>
        </w:tc>
      </w:tr>
      <w:tr w:rsidR="005F17BE" w:rsidRPr="00CC7258" w14:paraId="58184A9F"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0D013BC3" w14:textId="36F388EF" w:rsidR="005F17BE" w:rsidRDefault="005F17BE" w:rsidP="002E18DD">
            <w:pPr>
              <w:spacing w:before="20" w:after="20"/>
              <w:jc w:val="both"/>
              <w:rPr>
                <w:rFonts w:ascii="Calibri" w:hAnsi="Calibri"/>
                <w:b w:val="0"/>
                <w:bCs w:val="0"/>
              </w:rPr>
            </w:pPr>
            <w:r>
              <w:rPr>
                <w:rFonts w:ascii="Calibri" w:hAnsi="Calibri"/>
                <w:b w:val="0"/>
                <w:bCs w:val="0"/>
              </w:rPr>
              <w:t xml:space="preserve">Kim Hawkins </w:t>
            </w:r>
          </w:p>
        </w:tc>
        <w:tc>
          <w:tcPr>
            <w:tcW w:w="5386" w:type="dxa"/>
          </w:tcPr>
          <w:p w14:paraId="035E6A15" w14:textId="37D90421"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Shakespeare Martineau LLP</w:t>
            </w:r>
          </w:p>
        </w:tc>
      </w:tr>
      <w:tr w:rsidR="005F17BE" w:rsidRPr="00CC7258" w14:paraId="77146089"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5E48A195" w14:textId="63C85CE1" w:rsidR="005F17BE" w:rsidRDefault="005F17BE" w:rsidP="002E18DD">
            <w:pPr>
              <w:spacing w:before="20" w:after="20"/>
              <w:jc w:val="both"/>
              <w:rPr>
                <w:rFonts w:ascii="Calibri" w:hAnsi="Calibri"/>
                <w:b w:val="0"/>
                <w:bCs w:val="0"/>
              </w:rPr>
            </w:pPr>
            <w:r>
              <w:rPr>
                <w:rFonts w:ascii="Calibri" w:hAnsi="Calibri"/>
                <w:b w:val="0"/>
                <w:bCs w:val="0"/>
              </w:rPr>
              <w:t xml:space="preserve">Lea </w:t>
            </w:r>
            <w:proofErr w:type="spellStart"/>
            <w:r>
              <w:rPr>
                <w:rFonts w:ascii="Calibri" w:hAnsi="Calibri"/>
                <w:b w:val="0"/>
                <w:bCs w:val="0"/>
              </w:rPr>
              <w:t>Helman</w:t>
            </w:r>
            <w:proofErr w:type="spellEnd"/>
          </w:p>
        </w:tc>
        <w:tc>
          <w:tcPr>
            <w:tcW w:w="5386" w:type="dxa"/>
          </w:tcPr>
          <w:p w14:paraId="236BBBE7" w14:textId="3EB4D758"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LexisNexis</w:t>
            </w:r>
          </w:p>
        </w:tc>
      </w:tr>
      <w:tr w:rsidR="005F17BE" w:rsidRPr="00CC7258" w14:paraId="48BFD29C"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4FA3AB9C" w14:textId="01FF747B" w:rsidR="005F17BE" w:rsidRDefault="005F17BE" w:rsidP="002E18DD">
            <w:pPr>
              <w:spacing w:before="20" w:after="20"/>
              <w:jc w:val="both"/>
              <w:rPr>
                <w:rFonts w:ascii="Calibri" w:hAnsi="Calibri"/>
                <w:b w:val="0"/>
                <w:bCs w:val="0"/>
              </w:rPr>
            </w:pPr>
            <w:r>
              <w:rPr>
                <w:rFonts w:ascii="Calibri" w:hAnsi="Calibri"/>
                <w:b w:val="0"/>
                <w:bCs w:val="0"/>
              </w:rPr>
              <w:t>Liz Hunter</w:t>
            </w:r>
          </w:p>
        </w:tc>
        <w:tc>
          <w:tcPr>
            <w:tcW w:w="5386" w:type="dxa"/>
          </w:tcPr>
          <w:p w14:paraId="54FB5384" w14:textId="402442F0"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KPMG LLP</w:t>
            </w:r>
          </w:p>
        </w:tc>
      </w:tr>
      <w:tr w:rsidR="005F17BE" w:rsidRPr="00CC7258" w14:paraId="46ABF63C"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31EA1FB" w14:textId="4E1231E4" w:rsidR="005F17BE" w:rsidRDefault="005F17BE" w:rsidP="002E18DD">
            <w:pPr>
              <w:spacing w:before="20" w:after="20"/>
              <w:jc w:val="both"/>
              <w:rPr>
                <w:rFonts w:ascii="Calibri" w:hAnsi="Calibri"/>
                <w:b w:val="0"/>
                <w:bCs w:val="0"/>
              </w:rPr>
            </w:pPr>
            <w:r>
              <w:rPr>
                <w:rFonts w:ascii="Calibri" w:hAnsi="Calibri"/>
                <w:b w:val="0"/>
                <w:bCs w:val="0"/>
              </w:rPr>
              <w:t>Stuart James</w:t>
            </w:r>
          </w:p>
        </w:tc>
        <w:tc>
          <w:tcPr>
            <w:tcW w:w="5386" w:type="dxa"/>
          </w:tcPr>
          <w:p w14:paraId="6938E4BC" w14:textId="2B10C65B"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MM &amp; K Limited</w:t>
            </w:r>
          </w:p>
        </w:tc>
      </w:tr>
      <w:tr w:rsidR="005F17BE" w:rsidRPr="00CC7258" w14:paraId="4ED02D71"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33C9D53" w14:textId="18CD1B20" w:rsidR="005F17BE" w:rsidRDefault="005F17BE" w:rsidP="002E18DD">
            <w:pPr>
              <w:spacing w:before="20" w:after="20"/>
              <w:jc w:val="both"/>
              <w:rPr>
                <w:rFonts w:ascii="Calibri" w:hAnsi="Calibri"/>
                <w:b w:val="0"/>
                <w:bCs w:val="0"/>
              </w:rPr>
            </w:pPr>
            <w:r>
              <w:rPr>
                <w:rFonts w:ascii="Calibri" w:hAnsi="Calibri"/>
                <w:b w:val="0"/>
                <w:bCs w:val="0"/>
              </w:rPr>
              <w:t xml:space="preserve">Tom </w:t>
            </w:r>
            <w:proofErr w:type="spellStart"/>
            <w:r>
              <w:rPr>
                <w:rFonts w:ascii="Calibri" w:hAnsi="Calibri"/>
                <w:b w:val="0"/>
                <w:bCs w:val="0"/>
              </w:rPr>
              <w:t>Leatherby</w:t>
            </w:r>
            <w:proofErr w:type="spellEnd"/>
          </w:p>
        </w:tc>
        <w:tc>
          <w:tcPr>
            <w:tcW w:w="5386" w:type="dxa"/>
          </w:tcPr>
          <w:p w14:paraId="376C3F96" w14:textId="0F964B08"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Stephenson Harwood</w:t>
            </w:r>
          </w:p>
        </w:tc>
      </w:tr>
      <w:tr w:rsidR="005F17BE" w:rsidRPr="00CC7258" w14:paraId="4428A3E9"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15639CC" w14:textId="66250273" w:rsidR="005F17BE" w:rsidRDefault="005F17BE" w:rsidP="002E18DD">
            <w:pPr>
              <w:spacing w:before="20" w:after="20"/>
              <w:jc w:val="both"/>
              <w:rPr>
                <w:rFonts w:ascii="Calibri" w:hAnsi="Calibri"/>
                <w:b w:val="0"/>
                <w:bCs w:val="0"/>
              </w:rPr>
            </w:pPr>
            <w:r>
              <w:rPr>
                <w:rFonts w:ascii="Calibri" w:hAnsi="Calibri"/>
                <w:b w:val="0"/>
                <w:bCs w:val="0"/>
              </w:rPr>
              <w:t>Graham Muir</w:t>
            </w:r>
          </w:p>
        </w:tc>
        <w:tc>
          <w:tcPr>
            <w:tcW w:w="5386" w:type="dxa"/>
          </w:tcPr>
          <w:p w14:paraId="03F409CD" w14:textId="34DBE9B1"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CMS</w:t>
            </w:r>
          </w:p>
        </w:tc>
      </w:tr>
      <w:tr w:rsidR="005F17BE" w:rsidRPr="00CC7258" w14:paraId="4E00A69D"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1BA2C054" w14:textId="0A04ACEE" w:rsidR="005F17BE" w:rsidRDefault="005F17BE" w:rsidP="002E18DD">
            <w:pPr>
              <w:spacing w:before="20" w:after="20"/>
              <w:jc w:val="both"/>
              <w:rPr>
                <w:rFonts w:ascii="Calibri" w:hAnsi="Calibri"/>
                <w:b w:val="0"/>
                <w:bCs w:val="0"/>
              </w:rPr>
            </w:pPr>
            <w:r>
              <w:rPr>
                <w:rFonts w:ascii="Calibri" w:hAnsi="Calibri"/>
                <w:b w:val="0"/>
                <w:bCs w:val="0"/>
              </w:rPr>
              <w:t>Phil Norton</w:t>
            </w:r>
          </w:p>
        </w:tc>
        <w:tc>
          <w:tcPr>
            <w:tcW w:w="5386" w:type="dxa"/>
          </w:tcPr>
          <w:p w14:paraId="4DB904F9" w14:textId="4E967997"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Hewitt New Bridge Street</w:t>
            </w:r>
          </w:p>
        </w:tc>
      </w:tr>
      <w:tr w:rsidR="005F17BE" w:rsidRPr="00CC7258" w14:paraId="31DFC0EF"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6441F8DA" w14:textId="49E06295" w:rsidR="005F17BE" w:rsidRDefault="005F17BE" w:rsidP="002E18DD">
            <w:pPr>
              <w:spacing w:before="20" w:after="20"/>
              <w:jc w:val="both"/>
              <w:rPr>
                <w:rFonts w:ascii="Calibri" w:hAnsi="Calibri"/>
                <w:b w:val="0"/>
                <w:bCs w:val="0"/>
              </w:rPr>
            </w:pPr>
            <w:r>
              <w:rPr>
                <w:rFonts w:ascii="Calibri" w:hAnsi="Calibri"/>
                <w:b w:val="0"/>
                <w:bCs w:val="0"/>
              </w:rPr>
              <w:t>Isabel Pooley</w:t>
            </w:r>
          </w:p>
        </w:tc>
        <w:tc>
          <w:tcPr>
            <w:tcW w:w="5386" w:type="dxa"/>
          </w:tcPr>
          <w:p w14:paraId="51F4A80C" w14:textId="4032CD5D"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Grant Thornton UK LLP</w:t>
            </w:r>
          </w:p>
        </w:tc>
      </w:tr>
      <w:tr w:rsidR="005F17BE" w:rsidRPr="00CC7258" w14:paraId="44D270C1"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243721F" w14:textId="583C6AC9" w:rsidR="005F17BE" w:rsidRDefault="005F17BE" w:rsidP="002E18DD">
            <w:pPr>
              <w:spacing w:before="20" w:after="20"/>
              <w:jc w:val="both"/>
              <w:rPr>
                <w:rFonts w:ascii="Calibri" w:hAnsi="Calibri"/>
                <w:b w:val="0"/>
                <w:bCs w:val="0"/>
              </w:rPr>
            </w:pPr>
            <w:r>
              <w:rPr>
                <w:rFonts w:ascii="Calibri" w:hAnsi="Calibri"/>
                <w:b w:val="0"/>
                <w:bCs w:val="0"/>
              </w:rPr>
              <w:t>Robert Postlethwaite</w:t>
            </w:r>
          </w:p>
        </w:tc>
        <w:tc>
          <w:tcPr>
            <w:tcW w:w="5386" w:type="dxa"/>
          </w:tcPr>
          <w:p w14:paraId="107DCA9C" w14:textId="20D99696"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Postlethwaite Solicitors</w:t>
            </w:r>
          </w:p>
        </w:tc>
      </w:tr>
      <w:tr w:rsidR="005F17BE" w:rsidRPr="00CC7258" w14:paraId="7E40F60E" w14:textId="77777777" w:rsidTr="002E18D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4360" w:type="dxa"/>
          </w:tcPr>
          <w:p w14:paraId="3A086CEC" w14:textId="1D2C80E2" w:rsidR="005F17BE" w:rsidRDefault="005F17BE" w:rsidP="002E18DD">
            <w:pPr>
              <w:spacing w:before="20" w:after="20"/>
              <w:jc w:val="both"/>
              <w:rPr>
                <w:rFonts w:ascii="Calibri" w:hAnsi="Calibri"/>
                <w:b w:val="0"/>
                <w:bCs w:val="0"/>
              </w:rPr>
            </w:pPr>
            <w:r>
              <w:rPr>
                <w:rFonts w:ascii="Calibri" w:hAnsi="Calibri"/>
                <w:b w:val="0"/>
                <w:bCs w:val="0"/>
              </w:rPr>
              <w:t xml:space="preserve">Jennifer Rudman </w:t>
            </w:r>
          </w:p>
        </w:tc>
        <w:tc>
          <w:tcPr>
            <w:tcW w:w="5386" w:type="dxa"/>
          </w:tcPr>
          <w:p w14:paraId="704766D5" w14:textId="4F591313" w:rsidR="005F17BE" w:rsidRDefault="005F17BE" w:rsidP="002E18DD">
            <w:pPr>
              <w:spacing w:before="20" w:after="20"/>
              <w:jc w:val="both"/>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Prism Cosec</w:t>
            </w:r>
          </w:p>
        </w:tc>
      </w:tr>
      <w:tr w:rsidR="005F17BE" w:rsidRPr="00CC7258" w14:paraId="6A4F2526" w14:textId="77777777" w:rsidTr="002E18DD">
        <w:trPr>
          <w:trHeight w:val="312"/>
        </w:trPr>
        <w:tc>
          <w:tcPr>
            <w:cnfStyle w:val="001000000000" w:firstRow="0" w:lastRow="0" w:firstColumn="1" w:lastColumn="0" w:oddVBand="0" w:evenVBand="0" w:oddHBand="0" w:evenHBand="0" w:firstRowFirstColumn="0" w:firstRowLastColumn="0" w:lastRowFirstColumn="0" w:lastRowLastColumn="0"/>
            <w:tcW w:w="4360" w:type="dxa"/>
          </w:tcPr>
          <w:p w14:paraId="2798778C" w14:textId="795102C9" w:rsidR="005F17BE" w:rsidRDefault="005F17BE" w:rsidP="002E18DD">
            <w:pPr>
              <w:spacing w:before="20" w:after="20"/>
              <w:jc w:val="both"/>
              <w:rPr>
                <w:rFonts w:ascii="Calibri" w:hAnsi="Calibri"/>
                <w:b w:val="0"/>
                <w:bCs w:val="0"/>
              </w:rPr>
            </w:pPr>
            <w:r>
              <w:rPr>
                <w:rFonts w:ascii="Calibri" w:hAnsi="Calibri"/>
                <w:b w:val="0"/>
                <w:bCs w:val="0"/>
              </w:rPr>
              <w:t>Richard Sharman</w:t>
            </w:r>
          </w:p>
        </w:tc>
        <w:tc>
          <w:tcPr>
            <w:tcW w:w="5386" w:type="dxa"/>
          </w:tcPr>
          <w:p w14:paraId="1F2F07E8" w14:textId="33E4CD02" w:rsidR="005F17BE" w:rsidRDefault="005F17BE" w:rsidP="002E18DD">
            <w:pPr>
              <w:spacing w:before="20" w:after="20"/>
              <w:jc w:val="both"/>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FIT Remuneration Consultants</w:t>
            </w:r>
          </w:p>
        </w:tc>
      </w:tr>
    </w:tbl>
    <w:p w14:paraId="57857A50" w14:textId="5205AC6E" w:rsidR="001A2A5C" w:rsidRPr="001A2A5C" w:rsidRDefault="001A2A5C" w:rsidP="001A2A5C"/>
    <w:sectPr w:rsidR="001A2A5C" w:rsidRPr="001A2A5C" w:rsidSect="00F27B7A">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25D0B2" w14:textId="77777777" w:rsidR="006A5868" w:rsidRDefault="006A5868" w:rsidP="00630A39">
      <w:pPr>
        <w:spacing w:after="0" w:line="240" w:lineRule="auto"/>
      </w:pPr>
      <w:r>
        <w:separator/>
      </w:r>
    </w:p>
  </w:endnote>
  <w:endnote w:type="continuationSeparator" w:id="0">
    <w:p w14:paraId="6EC27778" w14:textId="77777777" w:rsidR="006A5868" w:rsidRDefault="006A5868" w:rsidP="00630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utiger LT Std 45 Light">
    <w:altName w:val="Leelawadee UI Semilight"/>
    <w:panose1 w:val="00000000000000000000"/>
    <w:charset w:val="00"/>
    <w:family w:val="swiss"/>
    <w:notTrueType/>
    <w:pitch w:val="variable"/>
    <w:sig w:usb0="00000003" w:usb1="4000204A" w:usb2="00000000" w:usb3="00000000" w:csb0="00000001" w:csb1="00000000"/>
  </w:font>
  <w:font w:name="Frutiger LT Std 55 Roman">
    <w:altName w:val="Lucida Sans Unicode"/>
    <w:panose1 w:val="00000000000000000000"/>
    <w:charset w:val="00"/>
    <w:family w:val="swiss"/>
    <w:notTrueType/>
    <w:pitch w:val="variable"/>
    <w:sig w:usb0="00000003" w:usb1="40002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2996728"/>
      <w:docPartObj>
        <w:docPartGallery w:val="Page Numbers (Bottom of Page)"/>
        <w:docPartUnique/>
      </w:docPartObj>
    </w:sdtPr>
    <w:sdtEndPr>
      <w:rPr>
        <w:b/>
        <w:noProof/>
        <w:sz w:val="18"/>
      </w:rPr>
    </w:sdtEndPr>
    <w:sdtContent>
      <w:p w14:paraId="4B6BA765" w14:textId="77777777" w:rsidR="006A5868" w:rsidRPr="008F1710" w:rsidRDefault="006A5868">
        <w:pPr>
          <w:pStyle w:val="Footer"/>
          <w:jc w:val="right"/>
          <w:rPr>
            <w:b/>
            <w:sz w:val="18"/>
          </w:rPr>
        </w:pPr>
        <w:r w:rsidRPr="008F1710">
          <w:rPr>
            <w:rFonts w:ascii="Calibri" w:hAnsi="Calibri"/>
            <w:b/>
            <w:sz w:val="18"/>
          </w:rPr>
          <w:fldChar w:fldCharType="begin"/>
        </w:r>
        <w:r w:rsidRPr="008F1710">
          <w:rPr>
            <w:rFonts w:ascii="Calibri" w:hAnsi="Calibri"/>
            <w:b/>
            <w:sz w:val="18"/>
          </w:rPr>
          <w:instrText xml:space="preserve"> PAGE   \* MERGEFORMAT </w:instrText>
        </w:r>
        <w:r w:rsidRPr="008F1710">
          <w:rPr>
            <w:rFonts w:ascii="Calibri" w:hAnsi="Calibri"/>
            <w:b/>
            <w:sz w:val="18"/>
          </w:rPr>
          <w:fldChar w:fldCharType="separate"/>
        </w:r>
        <w:r w:rsidR="00CD5B08">
          <w:rPr>
            <w:rFonts w:ascii="Calibri" w:hAnsi="Calibri"/>
            <w:b/>
            <w:noProof/>
            <w:sz w:val="18"/>
          </w:rPr>
          <w:t>7</w:t>
        </w:r>
        <w:r w:rsidRPr="008F1710">
          <w:rPr>
            <w:rFonts w:ascii="Calibri" w:hAnsi="Calibri"/>
            <w:b/>
            <w:noProof/>
            <w:sz w:val="18"/>
          </w:rPr>
          <w:fldChar w:fldCharType="end"/>
        </w:r>
      </w:p>
    </w:sdtContent>
  </w:sdt>
  <w:p w14:paraId="64BEB282" w14:textId="4D6C8039" w:rsidR="006A5868" w:rsidRPr="008F1710" w:rsidRDefault="006A5868" w:rsidP="00D76B7C">
    <w:pPr>
      <w:pStyle w:val="Footer"/>
      <w:spacing w:before="40" w:after="40"/>
      <w:jc w:val="both"/>
      <w:rPr>
        <w:rFonts w:ascii="Calibri" w:hAnsi="Calibri"/>
        <w:b/>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64137" w14:textId="7A59282A" w:rsidR="006A5868" w:rsidRPr="003B1FFE" w:rsidRDefault="006A5868" w:rsidP="003B1FFE">
    <w:pPr>
      <w:pStyle w:val="Footer"/>
      <w:jc w:val="right"/>
      <w:rPr>
        <w:rFonts w:ascii="Frutiger LT Std 55 Roman" w:hAnsi="Frutiger LT Std 55 Roman"/>
        <w:sz w:val="32"/>
      </w:rPr>
    </w:pPr>
    <w:r>
      <w:rPr>
        <w:rFonts w:ascii="Frutiger LT Std 55 Roman" w:hAnsi="Frutiger LT Std 55 Roman"/>
        <w:sz w:val="32"/>
      </w:rPr>
      <w:t>September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9F7A39" w14:textId="77777777" w:rsidR="006A5868" w:rsidRDefault="006A5868" w:rsidP="00630A39">
      <w:pPr>
        <w:spacing w:after="0" w:line="240" w:lineRule="auto"/>
      </w:pPr>
      <w:r>
        <w:separator/>
      </w:r>
    </w:p>
  </w:footnote>
  <w:footnote w:type="continuationSeparator" w:id="0">
    <w:p w14:paraId="1ED01C7F" w14:textId="77777777" w:rsidR="006A5868" w:rsidRDefault="006A5868" w:rsidP="00630A39">
      <w:pPr>
        <w:spacing w:after="0" w:line="240" w:lineRule="auto"/>
      </w:pPr>
      <w:r>
        <w:continuationSeparator/>
      </w:r>
    </w:p>
  </w:footnote>
  <w:footnote w:id="1">
    <w:p w14:paraId="7561AFA3" w14:textId="1ADDD9AC" w:rsidR="006A5868" w:rsidRDefault="006A5868">
      <w:pPr>
        <w:pStyle w:val="FootnoteText"/>
      </w:pPr>
      <w:r>
        <w:rPr>
          <w:rStyle w:val="FootnoteReference"/>
        </w:rPr>
        <w:footnoteRef/>
      </w:r>
      <w:r>
        <w:t xml:space="preserve"> QCA/Hardman &amp; Co., May 2019, How small and mid-cap quoted companies make a substantial contribution to markets, employment and tax revenues, </w:t>
      </w:r>
      <w:hyperlink r:id="rId1" w:history="1">
        <w:r w:rsidRPr="00CF49D8">
          <w:rPr>
            <w:rStyle w:val="Hyperlink"/>
          </w:rPr>
          <w:t>https://www.hardmanandco.com/wp-content/uploads/2019/05/How-small-and-mid-cap-quoted-companies-make-a-substantial-contribution-to-markets-employment-and-tax-revenues.pdf</w:t>
        </w:r>
      </w:hyperlink>
    </w:p>
  </w:footnote>
  <w:footnote w:id="2">
    <w:p w14:paraId="15E6D813" w14:textId="31DF5A8F" w:rsidR="006A5868" w:rsidRDefault="006A5868">
      <w:pPr>
        <w:pStyle w:val="FootnoteText"/>
      </w:pPr>
      <w:r>
        <w:rPr>
          <w:rStyle w:val="FootnoteReference"/>
        </w:rPr>
        <w:footnoteRef/>
      </w:r>
      <w:r>
        <w:t xml:space="preserve"> Ibid.</w:t>
      </w:r>
    </w:p>
  </w:footnote>
  <w:footnote w:id="3">
    <w:p w14:paraId="48C05B90" w14:textId="23C65CB5" w:rsidR="006A5868" w:rsidRDefault="006A5868">
      <w:pPr>
        <w:pStyle w:val="FootnoteText"/>
      </w:pPr>
      <w:r>
        <w:rPr>
          <w:rStyle w:val="FootnoteReference"/>
        </w:rPr>
        <w:footnoteRef/>
      </w:r>
      <w:r>
        <w:t xml:space="preserve"> Ibid. </w:t>
      </w:r>
    </w:p>
  </w:footnote>
  <w:footnote w:id="4">
    <w:p w14:paraId="39CDB962" w14:textId="168CF905" w:rsidR="006A5868" w:rsidRDefault="006A5868">
      <w:pPr>
        <w:pStyle w:val="FootnoteText"/>
      </w:pPr>
      <w:r>
        <w:rPr>
          <w:rStyle w:val="FootnoteReference"/>
        </w:rPr>
        <w:footnoteRef/>
      </w:r>
      <w:r>
        <w:t xml:space="preserve"> </w:t>
      </w:r>
      <w:r w:rsidRPr="00702F31">
        <w:rPr>
          <w:rFonts w:ascii="Calibri" w:hAnsi="Calibri" w:cs="Calibri"/>
          <w:sz w:val="18"/>
        </w:rPr>
        <w:t>The interest capacity is based on a percentage of tax-EBITDA (earnings before interest, tax, depreciation and amortisation) or, if lower, a modified debt cap limit, but is always at least £2 million. The percentage to be used is derived from either the fixed ratio method or, by election, the group ratio method.</w:t>
      </w:r>
    </w:p>
  </w:footnote>
  <w:footnote w:id="5">
    <w:p w14:paraId="0DD08091" w14:textId="7555A3EA" w:rsidR="006A5868" w:rsidRDefault="006A5868">
      <w:pPr>
        <w:pStyle w:val="FootnoteText"/>
      </w:pPr>
      <w:r>
        <w:rPr>
          <w:rStyle w:val="FootnoteReference"/>
        </w:rPr>
        <w:footnoteRef/>
      </w:r>
      <w:r>
        <w:t xml:space="preserve"> </w:t>
      </w:r>
      <w:r w:rsidRPr="00AA2D46">
        <w:rPr>
          <w:rFonts w:ascii="Calibri" w:hAnsi="Calibri"/>
          <w:sz w:val="18"/>
          <w:szCs w:val="18"/>
        </w:rPr>
        <w:t xml:space="preserve">See </w:t>
      </w:r>
      <w:proofErr w:type="spellStart"/>
      <w:r w:rsidRPr="00AA2D46">
        <w:rPr>
          <w:rFonts w:ascii="Calibri" w:hAnsi="Calibri"/>
          <w:sz w:val="18"/>
          <w:szCs w:val="18"/>
        </w:rPr>
        <w:t>Kretztechnik</w:t>
      </w:r>
      <w:proofErr w:type="spellEnd"/>
      <w:r w:rsidRPr="00AA2D46">
        <w:rPr>
          <w:rFonts w:ascii="Calibri" w:hAnsi="Calibri"/>
          <w:sz w:val="18"/>
          <w:szCs w:val="18"/>
        </w:rPr>
        <w:t xml:space="preserve"> AG v </w:t>
      </w:r>
      <w:proofErr w:type="spellStart"/>
      <w:r w:rsidRPr="00AA2D46">
        <w:rPr>
          <w:rFonts w:ascii="Calibri" w:hAnsi="Calibri"/>
          <w:sz w:val="18"/>
          <w:szCs w:val="18"/>
        </w:rPr>
        <w:t>Finanzamt</w:t>
      </w:r>
      <w:proofErr w:type="spellEnd"/>
      <w:r w:rsidRPr="00AA2D46">
        <w:rPr>
          <w:rFonts w:ascii="Calibri" w:hAnsi="Calibri"/>
          <w:sz w:val="18"/>
          <w:szCs w:val="18"/>
        </w:rPr>
        <w:t xml:space="preserve"> Linz, CJEC case C-465/03 (2005).</w:t>
      </w:r>
    </w:p>
  </w:footnote>
  <w:footnote w:id="6">
    <w:p w14:paraId="1C843165" w14:textId="4720EF45" w:rsidR="006A5868" w:rsidRPr="00233725" w:rsidRDefault="006A5868" w:rsidP="00702F31">
      <w:pPr>
        <w:pStyle w:val="FootnoteText"/>
        <w:spacing w:before="40" w:after="40" w:line="276" w:lineRule="auto"/>
        <w:contextualSpacing/>
        <w:jc w:val="left"/>
        <w:rPr>
          <w:rFonts w:ascii="Calibri" w:hAnsi="Calibri" w:cs="Calibri"/>
          <w:sz w:val="18"/>
        </w:rPr>
      </w:pPr>
      <w:r w:rsidRPr="00233725">
        <w:rPr>
          <w:rStyle w:val="FootnoteReference"/>
          <w:rFonts w:ascii="Calibri" w:hAnsi="Calibri" w:cs="Calibri"/>
          <w:sz w:val="18"/>
        </w:rPr>
        <w:footnoteRef/>
      </w:r>
      <w:r w:rsidRPr="00233725">
        <w:rPr>
          <w:rFonts w:ascii="Calibri" w:hAnsi="Calibri" w:cs="Calibri"/>
          <w:sz w:val="18"/>
        </w:rPr>
        <w:t xml:space="preserve"> UK plc Debt Monitor (July 2018): </w:t>
      </w:r>
      <w:hyperlink r:id="rId2" w:history="1">
        <w:r w:rsidRPr="00233725">
          <w:rPr>
            <w:rStyle w:val="Hyperlink"/>
            <w:rFonts w:ascii="Calibri" w:hAnsi="Calibri" w:cs="Calibri"/>
            <w:sz w:val="18"/>
          </w:rPr>
          <w:t>https://www.linkassetservices.com/file.axd?pointerid=5b3a1ace8bcbe7006810403b</w:t>
        </w:r>
      </w:hyperlink>
      <w:r w:rsidRPr="00233725">
        <w:rPr>
          <w:rFonts w:ascii="Calibri" w:hAnsi="Calibri" w:cs="Calibri"/>
          <w:sz w:val="18"/>
        </w:rPr>
        <w:t xml:space="preserve"> </w:t>
      </w:r>
    </w:p>
  </w:footnote>
  <w:footnote w:id="7">
    <w:p w14:paraId="7F8A2624" w14:textId="77777777" w:rsidR="006A5868" w:rsidRPr="00107B53" w:rsidRDefault="006A5868" w:rsidP="00233725">
      <w:pPr>
        <w:pStyle w:val="FootnoteText"/>
        <w:spacing w:before="40" w:after="40" w:line="276" w:lineRule="auto"/>
        <w:rPr>
          <w:rFonts w:ascii="Calibri" w:hAnsi="Calibri"/>
          <w:sz w:val="18"/>
          <w:szCs w:val="18"/>
        </w:rPr>
      </w:pPr>
      <w:r w:rsidRPr="00107B53">
        <w:rPr>
          <w:rStyle w:val="FootnoteReference"/>
          <w:rFonts w:ascii="Calibri" w:hAnsi="Calibri"/>
          <w:sz w:val="18"/>
          <w:szCs w:val="18"/>
        </w:rPr>
        <w:footnoteRef/>
      </w:r>
      <w:r w:rsidRPr="00107B53">
        <w:rPr>
          <w:rFonts w:ascii="Calibri" w:hAnsi="Calibri"/>
          <w:sz w:val="18"/>
          <w:szCs w:val="18"/>
        </w:rPr>
        <w:t xml:space="preserve"> </w:t>
      </w:r>
      <w:proofErr w:type="spellStart"/>
      <w:r w:rsidRPr="00107B53">
        <w:rPr>
          <w:rFonts w:ascii="Calibri" w:hAnsi="Calibri"/>
          <w:sz w:val="18"/>
          <w:szCs w:val="18"/>
        </w:rPr>
        <w:t>Ahrend</w:t>
      </w:r>
      <w:proofErr w:type="spellEnd"/>
      <w:r w:rsidRPr="00107B53">
        <w:rPr>
          <w:rFonts w:ascii="Calibri" w:hAnsi="Calibri"/>
          <w:sz w:val="18"/>
          <w:szCs w:val="18"/>
        </w:rPr>
        <w:t xml:space="preserve">, R. and A. </w:t>
      </w:r>
      <w:proofErr w:type="spellStart"/>
      <w:r w:rsidRPr="00107B53">
        <w:rPr>
          <w:rFonts w:ascii="Calibri" w:hAnsi="Calibri"/>
          <w:sz w:val="18"/>
          <w:szCs w:val="18"/>
        </w:rPr>
        <w:t>Goujard</w:t>
      </w:r>
      <w:proofErr w:type="spellEnd"/>
      <w:r w:rsidRPr="00107B53">
        <w:rPr>
          <w:rFonts w:ascii="Calibri" w:hAnsi="Calibri"/>
          <w:sz w:val="18"/>
          <w:szCs w:val="18"/>
        </w:rPr>
        <w:t xml:space="preserve"> (2012), “International Capital Mobility and Financial Fragility - Part 1. Drivers of Systemic Banking Crises: The Role of Bank-Balance-Sheet Contagion and Financial Account Structure”, OECD Economics Department Working Papers, No. 902, OECD Publishing, Paris. </w:t>
      </w:r>
      <w:hyperlink r:id="rId3" w:history="1">
        <w:r w:rsidRPr="00107B53">
          <w:rPr>
            <w:rStyle w:val="Hyperlink"/>
            <w:rFonts w:ascii="Calibri" w:hAnsi="Calibri"/>
            <w:sz w:val="18"/>
            <w:szCs w:val="18"/>
          </w:rPr>
          <w:t>http://dx.doi.org/10.1787/5kg3k8ksgglw-en</w:t>
        </w:r>
      </w:hyperlink>
      <w:r w:rsidRPr="00107B53">
        <w:rPr>
          <w:rFonts w:ascii="Calibri" w:hAnsi="Calibri"/>
          <w:sz w:val="18"/>
          <w:szCs w:val="18"/>
        </w:rPr>
        <w:t xml:space="preserve"> </w:t>
      </w:r>
    </w:p>
  </w:footnote>
  <w:footnote w:id="8">
    <w:p w14:paraId="71E63B25" w14:textId="77777777" w:rsidR="006A5868" w:rsidRPr="00107B53" w:rsidRDefault="006A5868" w:rsidP="00233725">
      <w:pPr>
        <w:pStyle w:val="EndnoteText"/>
        <w:spacing w:before="40" w:after="40" w:line="276" w:lineRule="auto"/>
        <w:rPr>
          <w:rFonts w:ascii="Calibri" w:hAnsi="Calibri"/>
          <w:sz w:val="18"/>
          <w:szCs w:val="18"/>
        </w:rPr>
      </w:pPr>
      <w:r w:rsidRPr="00107B53">
        <w:rPr>
          <w:rStyle w:val="EndnoteReference"/>
          <w:rFonts w:ascii="Calibri" w:hAnsi="Calibri"/>
          <w:sz w:val="18"/>
          <w:szCs w:val="18"/>
        </w:rPr>
        <w:footnoteRef/>
      </w:r>
      <w:r w:rsidRPr="00107B53">
        <w:rPr>
          <w:rFonts w:ascii="Calibri" w:hAnsi="Calibri"/>
          <w:sz w:val="18"/>
          <w:szCs w:val="18"/>
        </w:rPr>
        <w:t xml:space="preserve"> </w:t>
      </w:r>
      <w:proofErr w:type="spellStart"/>
      <w:r w:rsidRPr="00107B53">
        <w:rPr>
          <w:rFonts w:ascii="Calibri" w:hAnsi="Calibri"/>
          <w:sz w:val="18"/>
          <w:szCs w:val="18"/>
        </w:rPr>
        <w:t>Cournède</w:t>
      </w:r>
      <w:proofErr w:type="spellEnd"/>
      <w:r w:rsidRPr="00107B53">
        <w:rPr>
          <w:rFonts w:ascii="Calibri" w:hAnsi="Calibri"/>
          <w:sz w:val="18"/>
          <w:szCs w:val="18"/>
        </w:rPr>
        <w:t xml:space="preserve">, B., O. </w:t>
      </w:r>
      <w:proofErr w:type="spellStart"/>
      <w:r w:rsidRPr="00107B53">
        <w:rPr>
          <w:rFonts w:ascii="Calibri" w:hAnsi="Calibri"/>
          <w:sz w:val="18"/>
          <w:szCs w:val="18"/>
        </w:rPr>
        <w:t>Denk</w:t>
      </w:r>
      <w:proofErr w:type="spellEnd"/>
      <w:r w:rsidRPr="00107B53">
        <w:rPr>
          <w:rFonts w:ascii="Calibri" w:hAnsi="Calibri"/>
          <w:sz w:val="18"/>
          <w:szCs w:val="18"/>
        </w:rPr>
        <w:t xml:space="preserve"> and P. </w:t>
      </w:r>
      <w:proofErr w:type="spellStart"/>
      <w:r w:rsidRPr="00107B53">
        <w:rPr>
          <w:rFonts w:ascii="Calibri" w:hAnsi="Calibri"/>
          <w:sz w:val="18"/>
          <w:szCs w:val="18"/>
        </w:rPr>
        <w:t>Hoeller</w:t>
      </w:r>
      <w:proofErr w:type="spellEnd"/>
      <w:r w:rsidRPr="00107B53">
        <w:rPr>
          <w:rFonts w:ascii="Calibri" w:hAnsi="Calibri"/>
          <w:sz w:val="18"/>
          <w:szCs w:val="18"/>
        </w:rPr>
        <w:t xml:space="preserve"> (2015), "Finance and Inclusive Growth", </w:t>
      </w:r>
      <w:r w:rsidRPr="00107B53">
        <w:rPr>
          <w:rFonts w:ascii="Calibri" w:hAnsi="Calibri"/>
          <w:i/>
          <w:iCs/>
          <w:sz w:val="18"/>
          <w:szCs w:val="18"/>
        </w:rPr>
        <w:t>OECD Economic Policy Papers</w:t>
      </w:r>
      <w:r w:rsidRPr="00107B53">
        <w:rPr>
          <w:rFonts w:ascii="Calibri" w:hAnsi="Calibri"/>
          <w:sz w:val="18"/>
          <w:szCs w:val="18"/>
        </w:rPr>
        <w:t>, No. 14, OECD Publishing, Paris</w:t>
      </w:r>
    </w:p>
  </w:footnote>
  <w:footnote w:id="9">
    <w:p w14:paraId="4199C5E0" w14:textId="77777777" w:rsidR="006A5868" w:rsidRPr="00AA2D46" w:rsidRDefault="006A5868" w:rsidP="0015726C">
      <w:pPr>
        <w:pStyle w:val="FootnoteText"/>
        <w:rPr>
          <w:rFonts w:ascii="Calibri" w:hAnsi="Calibri"/>
          <w:sz w:val="18"/>
          <w:szCs w:val="18"/>
        </w:rPr>
      </w:pPr>
      <w:r w:rsidRPr="00AA2D46">
        <w:rPr>
          <w:rStyle w:val="FootnoteReference"/>
          <w:rFonts w:ascii="Calibri" w:hAnsi="Calibri"/>
          <w:sz w:val="18"/>
          <w:szCs w:val="18"/>
        </w:rPr>
        <w:footnoteRef/>
      </w:r>
      <w:r w:rsidRPr="00AA2D46">
        <w:rPr>
          <w:rFonts w:ascii="Calibri" w:hAnsi="Calibri"/>
          <w:sz w:val="18"/>
          <w:szCs w:val="18"/>
        </w:rPr>
        <w:t xml:space="preserve"> ‘Tax Policy, Leverage and Macroeconomic Stability’, the IMF (2016), available at: </w:t>
      </w:r>
      <w:hyperlink r:id="rId4" w:history="1">
        <w:r w:rsidRPr="00AA2D46">
          <w:rPr>
            <w:rStyle w:val="Hyperlink"/>
            <w:rFonts w:ascii="Calibri" w:hAnsi="Calibri"/>
            <w:sz w:val="18"/>
            <w:szCs w:val="18"/>
          </w:rPr>
          <w:t>http://www.imf.org/en/Publications/Policy-Papers/Issues/2016/12/31/Tax-Policy-Leverage-and-Macroeconomic-Stability-PP5073</w:t>
        </w:r>
      </w:hyperlink>
      <w:r w:rsidRPr="00AA2D46">
        <w:rPr>
          <w:rFonts w:ascii="Calibri" w:hAnsi="Calibri"/>
          <w:sz w:val="18"/>
          <w:szCs w:val="18"/>
        </w:rPr>
        <w:t xml:space="preserve"> </w:t>
      </w:r>
    </w:p>
  </w:footnote>
  <w:footnote w:id="10">
    <w:p w14:paraId="2877F540" w14:textId="77777777" w:rsidR="006A5868" w:rsidRPr="00AA2D46" w:rsidRDefault="006A5868" w:rsidP="00AA2D46">
      <w:pPr>
        <w:pStyle w:val="FootnoteText"/>
        <w:spacing w:before="40" w:after="40" w:line="276" w:lineRule="auto"/>
        <w:rPr>
          <w:rFonts w:ascii="Calibri" w:hAnsi="Calibri"/>
          <w:sz w:val="18"/>
          <w:szCs w:val="18"/>
        </w:rPr>
      </w:pPr>
      <w:r w:rsidRPr="00AA2D46">
        <w:rPr>
          <w:rStyle w:val="FootnoteReference"/>
          <w:rFonts w:ascii="Calibri" w:hAnsi="Calibri"/>
          <w:sz w:val="18"/>
          <w:szCs w:val="18"/>
        </w:rPr>
        <w:footnoteRef/>
      </w:r>
      <w:r w:rsidRPr="00AA2D46">
        <w:rPr>
          <w:rFonts w:ascii="Calibri" w:hAnsi="Calibri"/>
          <w:sz w:val="18"/>
          <w:szCs w:val="18"/>
        </w:rPr>
        <w:t xml:space="preserve"> Capital Markets for Growing Companies – A review of the European listings regime, </w:t>
      </w:r>
      <w:proofErr w:type="spellStart"/>
      <w:r w:rsidRPr="00AA2D46">
        <w:rPr>
          <w:rFonts w:ascii="Calibri" w:hAnsi="Calibri"/>
          <w:sz w:val="18"/>
          <w:szCs w:val="18"/>
        </w:rPr>
        <w:t>TheCityUK</w:t>
      </w:r>
      <w:proofErr w:type="spellEnd"/>
      <w:r w:rsidRPr="00AA2D46">
        <w:rPr>
          <w:rFonts w:ascii="Calibri" w:hAnsi="Calibri"/>
          <w:sz w:val="18"/>
          <w:szCs w:val="18"/>
        </w:rPr>
        <w:t xml:space="preserve">, King &amp; Wood Mallesons, available at: </w:t>
      </w:r>
      <w:hyperlink r:id="rId5" w:history="1">
        <w:r w:rsidRPr="00AA2D46">
          <w:rPr>
            <w:rStyle w:val="Hyperlink"/>
            <w:rFonts w:ascii="Calibri" w:hAnsi="Calibri"/>
            <w:sz w:val="18"/>
            <w:szCs w:val="18"/>
          </w:rPr>
          <w:t>https://www.thecityuk.com/assets/2015/Reports-PDF/ELR-Capital-Markets-for-Growing-Companies.pdf</w:t>
        </w:r>
      </w:hyperlink>
      <w:r w:rsidRPr="00AA2D46">
        <w:rPr>
          <w:rStyle w:val="Hyperlink"/>
          <w:rFonts w:ascii="Calibri" w:hAnsi="Calibri"/>
          <w:sz w:val="18"/>
          <w:szCs w:val="18"/>
        </w:rPr>
        <w:t xml:space="preserve"> </w:t>
      </w:r>
    </w:p>
  </w:footnote>
  <w:footnote w:id="11">
    <w:p w14:paraId="6664412A" w14:textId="77777777" w:rsidR="006A5868" w:rsidRPr="00AA2D46" w:rsidRDefault="006A5868" w:rsidP="00AA2D46">
      <w:pPr>
        <w:pStyle w:val="FootnoteText"/>
        <w:spacing w:before="40" w:after="40" w:line="276" w:lineRule="auto"/>
        <w:rPr>
          <w:rFonts w:ascii="Calibri" w:hAnsi="Calibri"/>
          <w:sz w:val="18"/>
          <w:szCs w:val="18"/>
        </w:rPr>
      </w:pPr>
      <w:r w:rsidRPr="00AA2D46">
        <w:rPr>
          <w:rStyle w:val="FootnoteReference"/>
          <w:rFonts w:ascii="Calibri" w:hAnsi="Calibri"/>
          <w:sz w:val="18"/>
          <w:szCs w:val="18"/>
        </w:rPr>
        <w:footnoteRef/>
      </w:r>
      <w:r w:rsidRPr="00AA2D46">
        <w:rPr>
          <w:rFonts w:ascii="Calibri" w:hAnsi="Calibri"/>
          <w:sz w:val="18"/>
          <w:szCs w:val="18"/>
        </w:rPr>
        <w:t xml:space="preserve"> European Commission Action Plan on Building a Capital Markets Union, available at: </w:t>
      </w:r>
      <w:hyperlink r:id="rId6" w:history="1">
        <w:r w:rsidRPr="00AA2D46">
          <w:rPr>
            <w:rStyle w:val="Hyperlink"/>
            <w:rFonts w:ascii="Calibri" w:hAnsi="Calibri"/>
            <w:sz w:val="18"/>
            <w:szCs w:val="18"/>
          </w:rPr>
          <w:t>http://ec.europa.eu/finance/capital-markets-union/docs/building-cmu-action-plan_en.pdf</w:t>
        </w:r>
      </w:hyperlink>
      <w:r w:rsidRPr="00AA2D46">
        <w:rPr>
          <w:rFonts w:ascii="Calibri" w:hAnsi="Calibri"/>
          <w:sz w:val="18"/>
          <w:szCs w:val="18"/>
        </w:rPr>
        <w:t xml:space="preserve"> </w:t>
      </w:r>
    </w:p>
  </w:footnote>
  <w:footnote w:id="12">
    <w:p w14:paraId="3550100A"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Quoted Companies Alliance research conducted </w:t>
      </w:r>
      <w:r>
        <w:rPr>
          <w:rFonts w:ascii="Calibri" w:hAnsi="Calibri"/>
          <w:sz w:val="18"/>
        </w:rPr>
        <w:t>in February 2018</w:t>
      </w:r>
      <w:r w:rsidRPr="001762CC">
        <w:rPr>
          <w:rFonts w:ascii="Calibri" w:hAnsi="Calibri"/>
          <w:sz w:val="18"/>
        </w:rPr>
        <w:t xml:space="preserve">.  </w:t>
      </w:r>
    </w:p>
  </w:footnote>
  <w:footnote w:id="13">
    <w:p w14:paraId="5B8431DD"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These costs are associated with producing the admission/placing document and exclude other costs, such as due diligence/corrective agreements.  </w:t>
      </w:r>
    </w:p>
  </w:footnote>
  <w:footnote w:id="14">
    <w:p w14:paraId="7979CA24"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Varies depending on market capitalisation/size of the company.  </w:t>
      </w:r>
    </w:p>
  </w:footnote>
  <w:footnote w:id="15">
    <w:p w14:paraId="504CC5A2"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Varies depending on market capitalisation/size of the company.  </w:t>
      </w:r>
    </w:p>
  </w:footnote>
  <w:footnote w:id="16">
    <w:p w14:paraId="2C46A9C0"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Excludes other charges such as the AGM.  </w:t>
      </w:r>
    </w:p>
  </w:footnote>
  <w:footnote w:id="17">
    <w:p w14:paraId="2DEAF2AF"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w:t>
      </w:r>
      <w:r>
        <w:rPr>
          <w:rFonts w:ascii="Calibri" w:hAnsi="Calibri"/>
          <w:sz w:val="18"/>
        </w:rPr>
        <w:t>Fees for Issuers</w:t>
      </w:r>
      <w:r w:rsidRPr="001762CC">
        <w:rPr>
          <w:rFonts w:ascii="Calibri" w:hAnsi="Calibri"/>
          <w:sz w:val="18"/>
        </w:rPr>
        <w:t>, 1 April 201</w:t>
      </w:r>
      <w:r>
        <w:rPr>
          <w:rFonts w:ascii="Calibri" w:hAnsi="Calibri"/>
          <w:sz w:val="18"/>
        </w:rPr>
        <w:t>8</w:t>
      </w:r>
      <w:r w:rsidRPr="001762CC">
        <w:rPr>
          <w:rFonts w:ascii="Calibri" w:hAnsi="Calibri"/>
          <w:sz w:val="18"/>
        </w:rPr>
        <w:t>:</w:t>
      </w:r>
      <w:r>
        <w:rPr>
          <w:rFonts w:ascii="Calibri" w:hAnsi="Calibri"/>
          <w:sz w:val="18"/>
        </w:rPr>
        <w:t xml:space="preserve"> </w:t>
      </w:r>
      <w:hyperlink r:id="rId7" w:history="1">
        <w:r w:rsidRPr="00AC4E89">
          <w:rPr>
            <w:rStyle w:val="Hyperlink"/>
            <w:rFonts w:ascii="Calibri" w:hAnsi="Calibri"/>
            <w:sz w:val="18"/>
          </w:rPr>
          <w:t>http://www.londonstockexchange.com/companies-and-advisors/main-market/documents/listing2018aprilnew.pdf</w:t>
        </w:r>
      </w:hyperlink>
      <w:r>
        <w:rPr>
          <w:rFonts w:ascii="Calibri" w:hAnsi="Calibri"/>
          <w:sz w:val="18"/>
        </w:rPr>
        <w:t xml:space="preserve"> </w:t>
      </w:r>
    </w:p>
  </w:footnote>
  <w:footnote w:id="18">
    <w:p w14:paraId="296CE570"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Quoted Companies Alliance research conducted </w:t>
      </w:r>
      <w:r>
        <w:rPr>
          <w:rFonts w:ascii="Calibri" w:hAnsi="Calibri"/>
          <w:sz w:val="18"/>
        </w:rPr>
        <w:t>in February 2018</w:t>
      </w:r>
      <w:r w:rsidRPr="001762CC">
        <w:rPr>
          <w:rFonts w:ascii="Calibri" w:hAnsi="Calibri"/>
          <w:sz w:val="18"/>
        </w:rPr>
        <w:t>.</w:t>
      </w:r>
    </w:p>
  </w:footnote>
  <w:footnote w:id="19">
    <w:p w14:paraId="51AAC690"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Varies depending on market capitalisation/size of the company.  </w:t>
      </w:r>
    </w:p>
  </w:footnote>
  <w:footnote w:id="20">
    <w:p w14:paraId="1F906A17" w14:textId="77777777" w:rsidR="006A5868" w:rsidRPr="001762CC" w:rsidRDefault="006A5868" w:rsidP="00AA2D46">
      <w:pPr>
        <w:pStyle w:val="FootnoteText"/>
        <w:spacing w:before="40" w:after="40" w:line="276" w:lineRule="auto"/>
        <w:jc w:val="left"/>
        <w:rPr>
          <w:rFonts w:ascii="Calibri" w:hAnsi="Calibri"/>
          <w:sz w:val="18"/>
        </w:rPr>
      </w:pPr>
      <w:r w:rsidRPr="001762CC">
        <w:rPr>
          <w:rStyle w:val="FootnoteReference"/>
          <w:rFonts w:ascii="Calibri" w:hAnsi="Calibri"/>
          <w:sz w:val="18"/>
        </w:rPr>
        <w:footnoteRef/>
      </w:r>
      <w:r w:rsidRPr="001762CC">
        <w:rPr>
          <w:rFonts w:ascii="Calibri" w:hAnsi="Calibri"/>
          <w:sz w:val="18"/>
        </w:rPr>
        <w:t xml:space="preserve"> </w:t>
      </w:r>
      <w:r>
        <w:rPr>
          <w:rFonts w:ascii="Calibri" w:hAnsi="Calibri"/>
          <w:sz w:val="18"/>
        </w:rPr>
        <w:t>Fees for Issuers</w:t>
      </w:r>
      <w:r w:rsidRPr="001762CC">
        <w:rPr>
          <w:rFonts w:ascii="Calibri" w:hAnsi="Calibri"/>
          <w:sz w:val="18"/>
        </w:rPr>
        <w:t>, 1 April 201</w:t>
      </w:r>
      <w:r>
        <w:rPr>
          <w:rFonts w:ascii="Calibri" w:hAnsi="Calibri"/>
          <w:sz w:val="18"/>
        </w:rPr>
        <w:t>8</w:t>
      </w:r>
      <w:r w:rsidRPr="001762CC">
        <w:rPr>
          <w:rFonts w:ascii="Calibri" w:hAnsi="Calibri"/>
          <w:sz w:val="18"/>
        </w:rPr>
        <w:t>:</w:t>
      </w:r>
      <w:r>
        <w:rPr>
          <w:rFonts w:ascii="Calibri" w:hAnsi="Calibri"/>
          <w:sz w:val="18"/>
        </w:rPr>
        <w:t xml:space="preserve"> </w:t>
      </w:r>
      <w:hyperlink r:id="rId8" w:history="1">
        <w:r w:rsidRPr="00AC4E89">
          <w:rPr>
            <w:rStyle w:val="Hyperlink"/>
            <w:rFonts w:ascii="Calibri" w:hAnsi="Calibri"/>
            <w:sz w:val="18"/>
          </w:rPr>
          <w:t>http://www.londonstockexchange.com/companies-and-advisors/main-market/documents/listing2018aprilnew.pdf</w:t>
        </w:r>
      </w:hyperlink>
      <w:r>
        <w:rPr>
          <w:rFonts w:ascii="Calibri" w:hAnsi="Calibri"/>
          <w:sz w:val="18"/>
        </w:rPr>
        <w:t xml:space="preserve"> </w:t>
      </w:r>
    </w:p>
  </w:footnote>
  <w:footnote w:id="21">
    <w:p w14:paraId="0242BDCA" w14:textId="6B8B6386" w:rsidR="006A5868" w:rsidRPr="00C1772F" w:rsidRDefault="006A5868" w:rsidP="00C71FAA">
      <w:pPr>
        <w:pStyle w:val="FootnoteText"/>
        <w:spacing w:before="40" w:after="40" w:line="276" w:lineRule="auto"/>
        <w:jc w:val="left"/>
        <w:rPr>
          <w:rFonts w:ascii="Calibri" w:hAnsi="Calibri"/>
          <w:color w:val="000000" w:themeColor="text1"/>
          <w:sz w:val="18"/>
          <w:szCs w:val="18"/>
        </w:rPr>
      </w:pPr>
      <w:r w:rsidRPr="00C1772F">
        <w:rPr>
          <w:rStyle w:val="FootnoteReference"/>
          <w:rFonts w:ascii="Calibri" w:hAnsi="Calibri"/>
          <w:color w:val="000000" w:themeColor="text1"/>
          <w:sz w:val="18"/>
          <w:szCs w:val="18"/>
        </w:rPr>
        <w:footnoteRef/>
      </w:r>
      <w:r w:rsidRPr="00C1772F">
        <w:rPr>
          <w:rFonts w:ascii="Calibri" w:hAnsi="Calibri"/>
          <w:color w:val="000000" w:themeColor="text1"/>
          <w:sz w:val="18"/>
          <w:szCs w:val="18"/>
        </w:rPr>
        <w:t xml:space="preserve"> Our cost calculations assume that the costs of an IPO are 7.5% of the total amount of money raised and that the costs of a further issue are 5%. We have excluded companies on the International Main Market from the cost calculations in order to capture UK companies raising funds on UK public equity markets. However, no sectors were excluded from the analysis. The source of the data is the London Stock Exchange’s New and Further Issues Statistics (available at:  </w:t>
      </w:r>
      <w:hyperlink r:id="rId9" w:history="1">
        <w:r w:rsidRPr="00C1772F">
          <w:rPr>
            <w:rStyle w:val="Hyperlink"/>
            <w:rFonts w:ascii="Calibri" w:hAnsi="Calibri"/>
            <w:sz w:val="18"/>
            <w:szCs w:val="18"/>
          </w:rPr>
          <w:t>http://www.londonstockexchange.com/statistics/new-issues-further-issues/new-issues-further-issues.htm</w:t>
        </w:r>
      </w:hyperlink>
      <w:r w:rsidRPr="00C1772F">
        <w:rPr>
          <w:rFonts w:ascii="Calibri" w:hAnsi="Calibri"/>
          <w:sz w:val="18"/>
          <w:szCs w:val="18"/>
        </w:rPr>
        <w:t xml:space="preserve">). </w:t>
      </w:r>
      <w:r w:rsidRPr="00C1772F">
        <w:rPr>
          <w:rFonts w:ascii="Calibri" w:hAnsi="Calibri"/>
          <w:color w:val="000000" w:themeColor="text1"/>
          <w:sz w:val="18"/>
          <w:szCs w:val="18"/>
        </w:rPr>
        <w:t>The data analysed includes all new issues and the following types of further issues: offer for subscription, placing and open offer, placing for cash, rights and placing.</w:t>
      </w:r>
    </w:p>
  </w:footnote>
  <w:footnote w:id="22">
    <w:p w14:paraId="6E92FE99" w14:textId="77777777" w:rsidR="006A5868" w:rsidRPr="002F19E5" w:rsidRDefault="006A5868" w:rsidP="005E4C25">
      <w:pPr>
        <w:pStyle w:val="FootnoteText"/>
        <w:spacing w:before="40" w:after="40" w:line="276" w:lineRule="auto"/>
        <w:jc w:val="left"/>
        <w:rPr>
          <w:rFonts w:ascii="Calibri" w:hAnsi="Calibri"/>
          <w:sz w:val="18"/>
          <w:szCs w:val="18"/>
        </w:rPr>
      </w:pPr>
      <w:r w:rsidRPr="002F19E5">
        <w:rPr>
          <w:rStyle w:val="FootnoteReference"/>
          <w:rFonts w:ascii="Calibri" w:eastAsiaTheme="majorEastAsia" w:hAnsi="Calibri"/>
          <w:sz w:val="18"/>
          <w:szCs w:val="18"/>
        </w:rPr>
        <w:footnoteRef/>
      </w:r>
      <w:r w:rsidRPr="002F19E5">
        <w:rPr>
          <w:rFonts w:ascii="Calibri" w:hAnsi="Calibri"/>
          <w:sz w:val="18"/>
          <w:szCs w:val="18"/>
        </w:rPr>
        <w:t xml:space="preserve"> </w:t>
      </w:r>
      <w:hyperlink r:id="rId10" w:history="1">
        <w:r w:rsidRPr="002F19E5">
          <w:rPr>
            <w:rStyle w:val="Hyperlink"/>
            <w:rFonts w:ascii="Calibri" w:hAnsi="Calibri"/>
            <w:sz w:val="18"/>
            <w:szCs w:val="18"/>
          </w:rPr>
          <w:t>https://www.londonstockexchange.com/statistics/markets/aim/aim.htm</w:t>
        </w:r>
      </w:hyperlink>
      <w:r w:rsidRPr="002F19E5">
        <w:rPr>
          <w:rFonts w:ascii="Calibri" w:hAnsi="Calibri"/>
          <w:sz w:val="18"/>
          <w:szCs w:val="18"/>
        </w:rPr>
        <w:t xml:space="preserve"> </w:t>
      </w:r>
    </w:p>
  </w:footnote>
  <w:footnote w:id="23">
    <w:p w14:paraId="183E179D" w14:textId="77777777" w:rsidR="006A5868" w:rsidRPr="002F19E5" w:rsidRDefault="006A5868" w:rsidP="005E4C25">
      <w:pPr>
        <w:pStyle w:val="FootnoteText"/>
        <w:spacing w:before="40" w:after="40" w:line="276" w:lineRule="auto"/>
        <w:jc w:val="left"/>
        <w:rPr>
          <w:rFonts w:ascii="Calibri" w:hAnsi="Calibri"/>
          <w:sz w:val="18"/>
          <w:szCs w:val="18"/>
        </w:rPr>
      </w:pPr>
      <w:r w:rsidRPr="002F19E5">
        <w:rPr>
          <w:rStyle w:val="FootnoteReference"/>
          <w:rFonts w:ascii="Calibri" w:eastAsiaTheme="majorEastAsia" w:hAnsi="Calibri"/>
          <w:sz w:val="18"/>
          <w:szCs w:val="18"/>
        </w:rPr>
        <w:footnoteRef/>
      </w:r>
      <w:r w:rsidRPr="002F19E5">
        <w:rPr>
          <w:rFonts w:ascii="Calibri" w:hAnsi="Calibri"/>
          <w:sz w:val="18"/>
          <w:szCs w:val="18"/>
        </w:rPr>
        <w:t xml:space="preserve"> ‘Economic Impact of AIM’ (April 2015): </w:t>
      </w:r>
      <w:hyperlink r:id="rId11" w:history="1">
        <w:r w:rsidRPr="002F19E5">
          <w:rPr>
            <w:rStyle w:val="Hyperlink"/>
            <w:rFonts w:ascii="Calibri" w:hAnsi="Calibri"/>
            <w:sz w:val="18"/>
            <w:szCs w:val="18"/>
          </w:rPr>
          <w:t>https://www.londonstockexchange.com/companies-and-advisors/aim/publications/documents/gteconomicimpactofaim2015.pdf</w:t>
        </w:r>
      </w:hyperlink>
      <w:r w:rsidRPr="002F19E5">
        <w:rPr>
          <w:rFonts w:ascii="Calibri" w:hAnsi="Calibri"/>
          <w:sz w:val="18"/>
          <w:szCs w:val="18"/>
        </w:rPr>
        <w:t xml:space="preserve"> </w:t>
      </w:r>
    </w:p>
  </w:footnote>
  <w:footnote w:id="24">
    <w:p w14:paraId="211CA865" w14:textId="77777777" w:rsidR="006A5868" w:rsidRPr="002F19E5" w:rsidRDefault="006A5868" w:rsidP="005E4C25">
      <w:pPr>
        <w:pStyle w:val="FootnoteText"/>
        <w:spacing w:before="40" w:after="40" w:line="276" w:lineRule="auto"/>
        <w:jc w:val="left"/>
        <w:rPr>
          <w:rFonts w:ascii="Calibri" w:hAnsi="Calibri"/>
          <w:sz w:val="18"/>
          <w:szCs w:val="18"/>
        </w:rPr>
      </w:pPr>
      <w:r w:rsidRPr="002F19E5">
        <w:rPr>
          <w:rStyle w:val="FootnoteReference"/>
          <w:rFonts w:ascii="Calibri" w:eastAsiaTheme="majorEastAsia" w:hAnsi="Calibri"/>
          <w:sz w:val="18"/>
          <w:szCs w:val="18"/>
        </w:rPr>
        <w:footnoteRef/>
      </w:r>
      <w:r w:rsidRPr="002F19E5">
        <w:rPr>
          <w:rFonts w:ascii="Calibri" w:hAnsi="Calibri"/>
          <w:sz w:val="18"/>
          <w:szCs w:val="18"/>
        </w:rPr>
        <w:t xml:space="preserve"> Financing growth in innovative firms (August 2017): </w:t>
      </w:r>
      <w:hyperlink r:id="rId12" w:history="1">
        <w:r w:rsidRPr="002F19E5">
          <w:rPr>
            <w:rStyle w:val="Hyperlink"/>
            <w:rFonts w:ascii="Calibri" w:hAnsi="Calibri"/>
            <w:sz w:val="18"/>
            <w:szCs w:val="18"/>
          </w:rPr>
          <w:t>https://assets.publishing.service.gov.uk/government/uploads/system/uploads/attachment_data/file/642456/financing_growth_in_innovative_firms_consultation_web.pdf</w:t>
        </w:r>
      </w:hyperlink>
      <w:r w:rsidRPr="002F19E5">
        <w:rPr>
          <w:rFonts w:ascii="Calibri" w:hAnsi="Calibri"/>
          <w:sz w:val="18"/>
          <w:szCs w:val="18"/>
        </w:rPr>
        <w:t xml:space="preserve"> </w:t>
      </w:r>
    </w:p>
  </w:footnote>
  <w:footnote w:id="25">
    <w:p w14:paraId="6374F3AB" w14:textId="36A7F46E" w:rsidR="006A5868" w:rsidRPr="002F19E5" w:rsidRDefault="006A5868" w:rsidP="0007307F">
      <w:pPr>
        <w:pStyle w:val="FootnoteText"/>
        <w:tabs>
          <w:tab w:val="left" w:pos="8355"/>
        </w:tabs>
        <w:spacing w:before="40" w:after="40" w:line="276" w:lineRule="auto"/>
        <w:jc w:val="left"/>
        <w:rPr>
          <w:rFonts w:ascii="Calibri" w:hAnsi="Calibri"/>
          <w:sz w:val="18"/>
          <w:szCs w:val="18"/>
        </w:rPr>
      </w:pPr>
      <w:r w:rsidRPr="002F19E5">
        <w:rPr>
          <w:rStyle w:val="FootnoteReference"/>
          <w:rFonts w:ascii="Calibri" w:eastAsiaTheme="majorEastAsia" w:hAnsi="Calibri"/>
          <w:sz w:val="18"/>
          <w:szCs w:val="18"/>
        </w:rPr>
        <w:footnoteRef/>
      </w:r>
      <w:r w:rsidRPr="002F19E5">
        <w:rPr>
          <w:rFonts w:ascii="Calibri" w:hAnsi="Calibri"/>
          <w:sz w:val="18"/>
          <w:szCs w:val="18"/>
        </w:rPr>
        <w:t xml:space="preserve"> This would capture 95% of AIM companies and all but one of the 88 NEX Exchange companies.</w:t>
      </w:r>
      <w:r>
        <w:rPr>
          <w:rFonts w:ascii="Calibri" w:hAnsi="Calibri"/>
          <w:sz w:val="18"/>
          <w:szCs w:val="18"/>
        </w:rPr>
        <w:tab/>
      </w:r>
    </w:p>
  </w:footnote>
  <w:footnote w:id="26">
    <w:p w14:paraId="6994C614" w14:textId="77777777" w:rsidR="006A5868" w:rsidRPr="009D3DD6" w:rsidRDefault="006A5868" w:rsidP="00C71FAA">
      <w:pPr>
        <w:pStyle w:val="FootnoteText"/>
        <w:spacing w:before="40" w:after="40" w:line="276" w:lineRule="auto"/>
        <w:jc w:val="left"/>
        <w:rPr>
          <w:rFonts w:ascii="Calibri" w:hAnsi="Calibri"/>
          <w:sz w:val="18"/>
        </w:rPr>
      </w:pPr>
      <w:r w:rsidRPr="009D3DD6">
        <w:rPr>
          <w:rStyle w:val="FootnoteReference"/>
          <w:rFonts w:ascii="Calibri" w:hAnsi="Calibri"/>
          <w:sz w:val="18"/>
        </w:rPr>
        <w:footnoteRef/>
      </w:r>
      <w:r w:rsidRPr="009D3DD6">
        <w:rPr>
          <w:rFonts w:ascii="Calibri" w:hAnsi="Calibri"/>
          <w:sz w:val="18"/>
        </w:rPr>
        <w:t xml:space="preserve">  The Ownership Effect Inquiry: What Does the Evidence Tell Us? - Banerjee A ,  </w:t>
      </w:r>
      <w:proofErr w:type="spellStart"/>
      <w:r w:rsidRPr="009D3DD6">
        <w:rPr>
          <w:rFonts w:ascii="Calibri" w:hAnsi="Calibri"/>
          <w:sz w:val="18"/>
        </w:rPr>
        <w:t>Bhalla</w:t>
      </w:r>
      <w:proofErr w:type="spellEnd"/>
      <w:r w:rsidRPr="009D3DD6">
        <w:rPr>
          <w:rFonts w:ascii="Calibri" w:hAnsi="Calibri"/>
          <w:sz w:val="18"/>
        </w:rPr>
        <w:t xml:space="preserve"> A, </w:t>
      </w:r>
      <w:proofErr w:type="spellStart"/>
      <w:r w:rsidRPr="009D3DD6">
        <w:rPr>
          <w:rFonts w:ascii="Calibri" w:hAnsi="Calibri"/>
          <w:sz w:val="18"/>
        </w:rPr>
        <w:t>Lampel</w:t>
      </w:r>
      <w:proofErr w:type="spellEnd"/>
      <w:r w:rsidRPr="009D3DD6">
        <w:rPr>
          <w:rFonts w:ascii="Calibri" w:hAnsi="Calibri"/>
          <w:sz w:val="18"/>
        </w:rPr>
        <w:t xml:space="preserve"> J (2017): </w:t>
      </w:r>
      <w:hyperlink r:id="rId13" w:history="1">
        <w:r w:rsidRPr="009D3DD6">
          <w:rPr>
            <w:rStyle w:val="Hyperlink"/>
            <w:rFonts w:ascii="Calibri" w:eastAsiaTheme="majorEastAsia" w:hAnsi="Calibri"/>
            <w:sz w:val="18"/>
          </w:rPr>
          <w:t>http://theownershipeffect.co.uk/wp-content/uploads/Global_literature_review_The_Ownership_Effect_Inquiry-What_does_the_evidence_tell_us_June_2017.pdf</w:t>
        </w:r>
      </w:hyperlink>
      <w:r w:rsidRPr="009D3DD6">
        <w:rPr>
          <w:rFonts w:ascii="Calibri" w:hAnsi="Calibri"/>
          <w:sz w:val="18"/>
        </w:rPr>
        <w:t xml:space="preserve"> </w:t>
      </w:r>
    </w:p>
  </w:footnote>
  <w:footnote w:id="27">
    <w:p w14:paraId="0A0D8ABE" w14:textId="131296E6" w:rsidR="006A5868" w:rsidRPr="00526E18" w:rsidRDefault="006A5868" w:rsidP="00526E18">
      <w:pPr>
        <w:pStyle w:val="FootnoteText"/>
        <w:spacing w:before="40" w:after="40"/>
        <w:jc w:val="left"/>
        <w:rPr>
          <w:rFonts w:ascii="Calibri" w:hAnsi="Calibri" w:cs="Calibri"/>
          <w:sz w:val="18"/>
        </w:rPr>
      </w:pPr>
      <w:r w:rsidRPr="00526E18">
        <w:rPr>
          <w:rStyle w:val="FootnoteReference"/>
          <w:rFonts w:ascii="Calibri" w:hAnsi="Calibri" w:cs="Calibri"/>
          <w:sz w:val="18"/>
        </w:rPr>
        <w:footnoteRef/>
      </w:r>
      <w:r w:rsidRPr="00526E18">
        <w:rPr>
          <w:rFonts w:ascii="Calibri" w:hAnsi="Calibri" w:cs="Calibri"/>
          <w:sz w:val="18"/>
        </w:rPr>
        <w:t xml:space="preserve"> </w:t>
      </w:r>
      <w:r w:rsidRPr="00526E18">
        <w:rPr>
          <w:rFonts w:ascii="Calibri" w:hAnsi="Calibri" w:cs="Calibri"/>
          <w:iCs/>
          <w:sz w:val="18"/>
        </w:rPr>
        <w:t>In recent years, following the findings of the Nuttall review, tax reliefs have been introduced for indirect ownership arrangements involving qualifying employee ownership trusts. These should continue to be available to support wider employee ownership.</w:t>
      </w:r>
    </w:p>
  </w:footnote>
  <w:footnote w:id="28">
    <w:p w14:paraId="54E87276" w14:textId="6FC6E743" w:rsidR="006A5868" w:rsidRPr="00A21E89" w:rsidRDefault="006A5868" w:rsidP="00213FC1">
      <w:pPr>
        <w:pStyle w:val="FootnoteText"/>
        <w:spacing w:before="40" w:after="40"/>
        <w:jc w:val="left"/>
        <w:rPr>
          <w:rFonts w:ascii="Calibri" w:hAnsi="Calibri" w:cs="Calibri"/>
          <w:sz w:val="18"/>
          <w:szCs w:val="18"/>
        </w:rPr>
      </w:pPr>
      <w:r w:rsidRPr="00A21E89">
        <w:rPr>
          <w:rStyle w:val="FootnoteReference"/>
          <w:rFonts w:ascii="Calibri" w:hAnsi="Calibri" w:cs="Calibri"/>
          <w:sz w:val="18"/>
          <w:szCs w:val="18"/>
        </w:rPr>
        <w:footnoteRef/>
      </w:r>
      <w:r w:rsidRPr="00A21E89">
        <w:rPr>
          <w:rFonts w:ascii="Calibri" w:hAnsi="Calibri" w:cs="Calibri"/>
          <w:sz w:val="18"/>
          <w:szCs w:val="18"/>
        </w:rPr>
        <w:t xml:space="preserve"> Indeed, </w:t>
      </w:r>
      <w:r w:rsidRPr="00A21E89">
        <w:rPr>
          <w:rFonts w:ascii="Calibri" w:hAnsi="Calibri" w:cs="Calibri"/>
          <w:iCs/>
          <w:sz w:val="18"/>
          <w:szCs w:val="18"/>
        </w:rPr>
        <w:t xml:space="preserve">participation in SAYE fell to about 400,000 in 2016-17; it was close to one million in 2000-2001. Data available at: </w:t>
      </w:r>
      <w:hyperlink r:id="rId14" w:history="1">
        <w:r w:rsidRPr="00A21E89">
          <w:rPr>
            <w:rStyle w:val="Hyperlink"/>
            <w:rFonts w:ascii="Calibri" w:hAnsi="Calibri" w:cs="Calibri"/>
            <w:sz w:val="18"/>
            <w:szCs w:val="18"/>
          </w:rPr>
          <w:t>https://assets.publishing.service.gov.uk/government/uploads/system/uploads/attachment_data/file/724516/Table6-5.pdf</w:t>
        </w:r>
      </w:hyperlink>
    </w:p>
  </w:footnote>
  <w:footnote w:id="29">
    <w:p w14:paraId="3D915460" w14:textId="77777777" w:rsidR="006A5868" w:rsidRPr="00180EA0" w:rsidRDefault="006A5868" w:rsidP="007F3505">
      <w:pPr>
        <w:pStyle w:val="FootnoteText"/>
        <w:spacing w:before="40" w:after="40" w:line="276" w:lineRule="auto"/>
        <w:jc w:val="left"/>
        <w:rPr>
          <w:rFonts w:ascii="Calibri" w:hAnsi="Calibri" w:cs="Calibri"/>
          <w:sz w:val="18"/>
          <w:szCs w:val="18"/>
        </w:rPr>
      </w:pPr>
      <w:r w:rsidRPr="00180EA0">
        <w:rPr>
          <w:rStyle w:val="FootnoteReference"/>
          <w:rFonts w:ascii="Calibri" w:hAnsi="Calibri" w:cs="Calibri"/>
          <w:sz w:val="18"/>
          <w:szCs w:val="18"/>
        </w:rPr>
        <w:footnoteRef/>
      </w:r>
      <w:r w:rsidRPr="00180EA0">
        <w:rPr>
          <w:rFonts w:ascii="Calibri" w:hAnsi="Calibri" w:cs="Calibri"/>
          <w:sz w:val="18"/>
          <w:szCs w:val="18"/>
        </w:rPr>
        <w:t xml:space="preserve"> Available at </w:t>
      </w:r>
      <w:hyperlink r:id="rId15" w:history="1">
        <w:r w:rsidRPr="00180EA0">
          <w:rPr>
            <w:rStyle w:val="Hyperlink"/>
            <w:rFonts w:ascii="Calibri" w:hAnsi="Calibri" w:cs="Calibri"/>
            <w:iCs/>
            <w:sz w:val="18"/>
            <w:szCs w:val="18"/>
          </w:rPr>
          <w:t>https://www.gov.uk/government/uploads/system/uploads/attachment_data/file/198444/ots_share_schemes_060312.pdf</w:t>
        </w:r>
      </w:hyperlink>
      <w:r w:rsidRPr="00180EA0">
        <w:rPr>
          <w:rFonts w:ascii="Calibri" w:hAnsi="Calibri" w:cs="Calibri"/>
          <w:sz w:val="18"/>
          <w:szCs w:val="18"/>
        </w:rPr>
        <w:t xml:space="preserve"> </w:t>
      </w:r>
    </w:p>
  </w:footnote>
  <w:footnote w:id="30">
    <w:p w14:paraId="0B5EC331" w14:textId="77777777" w:rsidR="006A5868" w:rsidRPr="00180EA0" w:rsidRDefault="006A5868" w:rsidP="007F3505">
      <w:pPr>
        <w:pStyle w:val="FootnoteText"/>
        <w:spacing w:before="40" w:after="40" w:line="276" w:lineRule="auto"/>
        <w:jc w:val="left"/>
        <w:rPr>
          <w:rFonts w:ascii="Calibri" w:hAnsi="Calibri" w:cs="Calibri"/>
          <w:sz w:val="18"/>
          <w:szCs w:val="18"/>
        </w:rPr>
      </w:pPr>
      <w:r w:rsidRPr="00180EA0">
        <w:rPr>
          <w:rStyle w:val="FootnoteReference"/>
          <w:rFonts w:ascii="Calibri" w:hAnsi="Calibri" w:cs="Calibri"/>
          <w:sz w:val="18"/>
          <w:szCs w:val="18"/>
        </w:rPr>
        <w:footnoteRef/>
      </w:r>
      <w:r w:rsidRPr="00180EA0">
        <w:rPr>
          <w:rFonts w:ascii="Calibri" w:hAnsi="Calibri" w:cs="Calibri"/>
          <w:sz w:val="18"/>
          <w:szCs w:val="18"/>
        </w:rPr>
        <w:t xml:space="preserve"> Available at </w:t>
      </w:r>
      <w:hyperlink r:id="rId16" w:history="1">
        <w:r w:rsidRPr="00180EA0">
          <w:rPr>
            <w:rStyle w:val="Hyperlink"/>
            <w:rFonts w:ascii="Calibri" w:hAnsi="Calibri" w:cs="Calibri"/>
            <w:sz w:val="18"/>
            <w:szCs w:val="18"/>
          </w:rPr>
          <w:t>https://assets.publishing.service.gov.uk/government/uploads/system/uploads/attachment_data/file/724508/Table6-4.pdf</w:t>
        </w:r>
      </w:hyperlink>
    </w:p>
  </w:footnote>
  <w:footnote w:id="31">
    <w:p w14:paraId="59420176" w14:textId="77777777" w:rsidR="006A5868" w:rsidRPr="009B5396" w:rsidRDefault="006A5868" w:rsidP="006C7979">
      <w:pPr>
        <w:pStyle w:val="FootnoteText"/>
        <w:spacing w:before="40" w:after="40" w:line="276" w:lineRule="auto"/>
        <w:jc w:val="left"/>
        <w:rPr>
          <w:rFonts w:ascii="Calibri" w:hAnsi="Calibri"/>
          <w:sz w:val="18"/>
        </w:rPr>
      </w:pPr>
      <w:r w:rsidRPr="009B5396">
        <w:rPr>
          <w:rStyle w:val="FootnoteReference"/>
          <w:rFonts w:ascii="Calibri" w:hAnsi="Calibri"/>
          <w:sz w:val="18"/>
        </w:rPr>
        <w:footnoteRef/>
      </w:r>
      <w:r w:rsidRPr="009B5396">
        <w:rPr>
          <w:rFonts w:ascii="Calibri" w:hAnsi="Calibri"/>
          <w:sz w:val="18"/>
        </w:rPr>
        <w:t xml:space="preserve"> Markets in Financial Instruments Directive (2004/39/EC)</w:t>
      </w:r>
    </w:p>
  </w:footnote>
  <w:footnote w:id="32">
    <w:p w14:paraId="387A0818" w14:textId="5B967BBA" w:rsidR="006A5868" w:rsidRPr="006C7979" w:rsidRDefault="006A5868" w:rsidP="006C7979">
      <w:pPr>
        <w:pStyle w:val="FootnoteText"/>
        <w:spacing w:before="40" w:after="40" w:line="276" w:lineRule="auto"/>
        <w:jc w:val="left"/>
        <w:rPr>
          <w:rFonts w:ascii="Calibri" w:hAnsi="Calibri" w:cs="Calibri"/>
          <w:sz w:val="18"/>
        </w:rPr>
      </w:pPr>
      <w:r w:rsidRPr="006C7979">
        <w:rPr>
          <w:rStyle w:val="FootnoteReference"/>
          <w:rFonts w:ascii="Calibri" w:hAnsi="Calibri" w:cs="Calibri"/>
          <w:sz w:val="18"/>
        </w:rPr>
        <w:footnoteRef/>
      </w:r>
      <w:r w:rsidRPr="006C7979">
        <w:rPr>
          <w:rFonts w:ascii="Calibri" w:hAnsi="Calibri" w:cs="Calibri"/>
          <w:sz w:val="18"/>
        </w:rPr>
        <w:t xml:space="preserve"> "Liquidity – little understood, even before MiFID II", Hardman and Co (October 2017):</w:t>
      </w:r>
      <w:r>
        <w:rPr>
          <w:rFonts w:ascii="Calibri" w:hAnsi="Calibri" w:cs="Calibri"/>
          <w:sz w:val="18"/>
        </w:rPr>
        <w:t xml:space="preserve"> </w:t>
      </w:r>
      <w:hyperlink r:id="rId17" w:history="1">
        <w:r w:rsidRPr="004C478C">
          <w:rPr>
            <w:rStyle w:val="Hyperlink"/>
            <w:rFonts w:ascii="Calibri" w:hAnsi="Calibri" w:cs="Calibri"/>
            <w:sz w:val="18"/>
          </w:rPr>
          <w:t>http://www.hardmanandco.com/docs/default-source/mohtnly-newsletters/hardman-monthly-october-2017.pdf</w:t>
        </w:r>
      </w:hyperlink>
      <w:r>
        <w:rPr>
          <w:rFonts w:ascii="Calibri" w:hAnsi="Calibri" w:cs="Calibri"/>
          <w:sz w:val="18"/>
        </w:rPr>
        <w:t xml:space="preserve"> </w:t>
      </w:r>
    </w:p>
  </w:footnote>
  <w:footnote w:id="33">
    <w:p w14:paraId="3C9CBB5C" w14:textId="547BC948" w:rsidR="006A5868" w:rsidRPr="006C7979" w:rsidRDefault="006A5868" w:rsidP="00DD71D7">
      <w:pPr>
        <w:pStyle w:val="FootnoteText"/>
        <w:spacing w:before="40" w:after="40"/>
        <w:jc w:val="left"/>
        <w:rPr>
          <w:rFonts w:ascii="Calibri" w:hAnsi="Calibri" w:cs="Calibri"/>
          <w:sz w:val="18"/>
          <w:szCs w:val="18"/>
        </w:rPr>
      </w:pPr>
      <w:r w:rsidRPr="006C7979">
        <w:rPr>
          <w:rStyle w:val="FootnoteReference"/>
          <w:rFonts w:ascii="Calibri" w:hAnsi="Calibri" w:cs="Calibri"/>
          <w:sz w:val="18"/>
          <w:szCs w:val="18"/>
        </w:rPr>
        <w:footnoteRef/>
      </w:r>
      <w:hyperlink r:id="rId18" w:history="1">
        <w:r w:rsidRPr="006C7979">
          <w:rPr>
            <w:rStyle w:val="Hyperlink"/>
            <w:rFonts w:ascii="Calibri" w:hAnsi="Calibri" w:cs="Calibri"/>
            <w:sz w:val="18"/>
            <w:szCs w:val="18"/>
          </w:rPr>
          <w:t>https://assets.publishing.service.gov.uk/government/uploads/system/uploads/attachment_data/file/193496/ots_length_legislation_paper.pdf</w:t>
        </w:r>
      </w:hyperlink>
      <w:r w:rsidRPr="006C7979">
        <w:rPr>
          <w:rFonts w:ascii="Calibri" w:hAnsi="Calibri" w:cs="Calibri"/>
          <w:sz w:val="18"/>
          <w:szCs w:val="18"/>
        </w:rPr>
        <w:t xml:space="preserve">  </w:t>
      </w:r>
    </w:p>
  </w:footnote>
  <w:footnote w:id="34">
    <w:p w14:paraId="7F5AE66C" w14:textId="77777777" w:rsidR="006A5868" w:rsidRPr="006C7979" w:rsidRDefault="006A5868" w:rsidP="00DD71D7">
      <w:pPr>
        <w:pStyle w:val="FootnoteText"/>
        <w:spacing w:before="40" w:after="40" w:line="276" w:lineRule="auto"/>
        <w:jc w:val="left"/>
        <w:rPr>
          <w:rFonts w:ascii="Calibri" w:hAnsi="Calibri" w:cs="Calibri"/>
          <w:sz w:val="18"/>
          <w:szCs w:val="18"/>
        </w:rPr>
      </w:pPr>
      <w:r w:rsidRPr="006C7979">
        <w:rPr>
          <w:rStyle w:val="FootnoteReference"/>
          <w:rFonts w:ascii="Calibri" w:hAnsi="Calibri" w:cs="Calibri"/>
          <w:sz w:val="18"/>
          <w:szCs w:val="18"/>
        </w:rPr>
        <w:footnoteRef/>
      </w:r>
      <w:r w:rsidRPr="006C7979">
        <w:rPr>
          <w:rFonts w:ascii="Calibri" w:hAnsi="Calibri" w:cs="Calibri"/>
          <w:sz w:val="18"/>
          <w:szCs w:val="18"/>
        </w:rPr>
        <w:t xml:space="preserve"> Finance Act 2016: </w:t>
      </w:r>
      <w:hyperlink r:id="rId19" w:history="1">
        <w:r w:rsidRPr="006C7979">
          <w:rPr>
            <w:rStyle w:val="Hyperlink"/>
            <w:rFonts w:ascii="Calibri" w:hAnsi="Calibri" w:cs="Calibri"/>
            <w:sz w:val="18"/>
            <w:szCs w:val="18"/>
          </w:rPr>
          <w:t>http://www.legislation.gov.uk/ukpga/2016/24/pdfs/ukpga_20160024_en.pdf</w:t>
        </w:r>
      </w:hyperlink>
      <w:r w:rsidRPr="006C7979">
        <w:rPr>
          <w:rFonts w:ascii="Calibri" w:hAnsi="Calibri" w:cs="Calibri"/>
          <w:sz w:val="18"/>
          <w:szCs w:val="18"/>
        </w:rPr>
        <w:t xml:space="preserve"> </w:t>
      </w:r>
    </w:p>
  </w:footnote>
  <w:footnote w:id="35">
    <w:p w14:paraId="5D46A6CF" w14:textId="77777777" w:rsidR="006A5868" w:rsidRPr="006C7979" w:rsidRDefault="006A5868" w:rsidP="00147070">
      <w:pPr>
        <w:pStyle w:val="FootnoteText"/>
        <w:spacing w:before="40" w:after="40" w:line="276" w:lineRule="auto"/>
        <w:jc w:val="left"/>
        <w:rPr>
          <w:rFonts w:ascii="Calibri" w:hAnsi="Calibri" w:cs="Calibri"/>
          <w:sz w:val="18"/>
          <w:szCs w:val="18"/>
        </w:rPr>
      </w:pPr>
      <w:r w:rsidRPr="006C7979">
        <w:rPr>
          <w:rStyle w:val="FootnoteReference"/>
          <w:rFonts w:ascii="Calibri" w:hAnsi="Calibri" w:cs="Calibri"/>
          <w:sz w:val="18"/>
          <w:szCs w:val="18"/>
        </w:rPr>
        <w:footnoteRef/>
      </w:r>
      <w:r w:rsidRPr="006C7979">
        <w:rPr>
          <w:rFonts w:ascii="Calibri" w:hAnsi="Calibri" w:cs="Calibri"/>
          <w:sz w:val="18"/>
          <w:szCs w:val="18"/>
        </w:rPr>
        <w:t xml:space="preserve"> Institute for Fiscal Studies, The Office of Tax Simplification: Looking Back and Looking Forward (2014): </w:t>
      </w:r>
      <w:hyperlink r:id="rId20" w:history="1">
        <w:r w:rsidRPr="006C7979">
          <w:rPr>
            <w:rStyle w:val="Hyperlink"/>
            <w:rFonts w:ascii="Calibri" w:hAnsi="Calibri" w:cs="Calibri"/>
            <w:sz w:val="18"/>
            <w:szCs w:val="18"/>
          </w:rPr>
          <w:t>https://www.ifs.org.uk/uploads/publications/TLRC/TLRC_OTS_DP_11.pdf</w:t>
        </w:r>
      </w:hyperlink>
      <w:r w:rsidRPr="006C7979">
        <w:rPr>
          <w:rFonts w:ascii="Calibri" w:hAnsi="Calibri" w:cs="Calibri"/>
          <w:sz w:val="18"/>
          <w:szCs w:val="18"/>
        </w:rPr>
        <w:t xml:space="preserve"> </w:t>
      </w:r>
    </w:p>
  </w:footnote>
  <w:footnote w:id="36">
    <w:p w14:paraId="2FE7F7BE" w14:textId="4C69A6EF" w:rsidR="006A5868" w:rsidRPr="00207343" w:rsidRDefault="006A5868" w:rsidP="00D10877">
      <w:pPr>
        <w:pStyle w:val="FootnoteText"/>
        <w:spacing w:before="40" w:after="40" w:line="276" w:lineRule="auto"/>
        <w:rPr>
          <w:rFonts w:ascii="Calibri" w:hAnsi="Calibri"/>
          <w:sz w:val="18"/>
          <w:szCs w:val="18"/>
        </w:rPr>
      </w:pPr>
      <w:r w:rsidRPr="00207343">
        <w:rPr>
          <w:rStyle w:val="FootnoteReference"/>
          <w:rFonts w:ascii="Calibri" w:hAnsi="Calibri"/>
          <w:sz w:val="18"/>
          <w:szCs w:val="18"/>
        </w:rPr>
        <w:footnoteRef/>
      </w:r>
      <w:r w:rsidRPr="00207343">
        <w:rPr>
          <w:rFonts w:ascii="Calibri" w:hAnsi="Calibri"/>
          <w:sz w:val="18"/>
          <w:szCs w:val="18"/>
        </w:rPr>
        <w:t xml:space="preserve"> Research conducted by the Quoted Companies Alliance </w:t>
      </w:r>
      <w:r>
        <w:rPr>
          <w:rFonts w:ascii="Calibri" w:hAnsi="Calibri"/>
          <w:sz w:val="18"/>
          <w:szCs w:val="18"/>
        </w:rPr>
        <w:t>in</w:t>
      </w:r>
      <w:r w:rsidRPr="00207343">
        <w:rPr>
          <w:rFonts w:ascii="Calibri" w:hAnsi="Calibri"/>
          <w:sz w:val="18"/>
          <w:szCs w:val="18"/>
        </w:rPr>
        <w:t xml:space="preserve"> </w:t>
      </w:r>
      <w:r>
        <w:rPr>
          <w:rFonts w:ascii="Calibri" w:hAnsi="Calibri"/>
          <w:sz w:val="18"/>
          <w:szCs w:val="18"/>
        </w:rPr>
        <w:t xml:space="preserve">August </w:t>
      </w:r>
      <w:r w:rsidRPr="00207343">
        <w:rPr>
          <w:rFonts w:ascii="Calibri" w:hAnsi="Calibri"/>
          <w:sz w:val="18"/>
          <w:szCs w:val="18"/>
        </w:rPr>
        <w:t>201</w:t>
      </w:r>
      <w:r>
        <w:rPr>
          <w:rFonts w:ascii="Calibri" w:hAnsi="Calibri"/>
          <w:sz w:val="18"/>
          <w:szCs w:val="18"/>
        </w:rPr>
        <w:t>8</w:t>
      </w:r>
      <w:r w:rsidRPr="00207343">
        <w:rPr>
          <w:rFonts w:ascii="Calibri" w:hAnsi="Calibri"/>
          <w:sz w:val="18"/>
          <w:szCs w:val="18"/>
        </w:rPr>
        <w:t xml:space="preserve"> (except Greece and Norway,</w:t>
      </w:r>
      <w:r>
        <w:rPr>
          <w:rFonts w:ascii="Calibri" w:hAnsi="Calibri"/>
          <w:sz w:val="18"/>
          <w:szCs w:val="18"/>
        </w:rPr>
        <w:t xml:space="preserve"> which was conducted in </w:t>
      </w:r>
      <w:r w:rsidRPr="00207343">
        <w:rPr>
          <w:rFonts w:ascii="Calibri" w:hAnsi="Calibri"/>
          <w:sz w:val="18"/>
          <w:szCs w:val="18"/>
        </w:rPr>
        <w:t>October 2014).</w:t>
      </w:r>
    </w:p>
  </w:footnote>
  <w:footnote w:id="37">
    <w:p w14:paraId="7117FAFA" w14:textId="23122B3F" w:rsidR="006A5868" w:rsidRPr="000A4031" w:rsidRDefault="006A5868" w:rsidP="00A80A37">
      <w:pPr>
        <w:pStyle w:val="FootnoteText"/>
        <w:spacing w:before="40" w:after="40" w:line="276" w:lineRule="auto"/>
        <w:rPr>
          <w:rFonts w:ascii="Calibri" w:hAnsi="Calibri"/>
          <w:sz w:val="18"/>
          <w:szCs w:val="18"/>
        </w:rPr>
      </w:pPr>
      <w:r w:rsidRPr="000A4031">
        <w:rPr>
          <w:rStyle w:val="FootnoteReference"/>
          <w:rFonts w:ascii="Calibri" w:hAnsi="Calibri"/>
          <w:sz w:val="18"/>
          <w:szCs w:val="18"/>
        </w:rPr>
        <w:footnoteRef/>
      </w:r>
      <w:r w:rsidRPr="000A4031">
        <w:rPr>
          <w:rFonts w:ascii="Calibri" w:hAnsi="Calibri"/>
          <w:sz w:val="18"/>
          <w:szCs w:val="18"/>
        </w:rPr>
        <w:t xml:space="preserve"> London Stock Exchange – Further Issues (</w:t>
      </w:r>
      <w:hyperlink r:id="rId21" w:history="1">
        <w:r w:rsidRPr="000A4031">
          <w:rPr>
            <w:rStyle w:val="Hyperlink"/>
            <w:rFonts w:ascii="Calibri" w:hAnsi="Calibri"/>
            <w:sz w:val="18"/>
            <w:szCs w:val="18"/>
          </w:rPr>
          <w:t>www.londonstockexchange.com/statistics/new-issues-further-issues/new-issues-further-issues.htm</w:t>
        </w:r>
      </w:hyperlink>
      <w:r w:rsidRPr="000A4031">
        <w:rPr>
          <w:rFonts w:ascii="Calibri" w:hAnsi="Calibri"/>
          <w:sz w:val="18"/>
          <w:szCs w:val="18"/>
        </w:rPr>
        <w:t>)</w:t>
      </w:r>
    </w:p>
  </w:footnote>
  <w:footnote w:id="38">
    <w:p w14:paraId="4004498C" w14:textId="459FE004" w:rsidR="006A5868" w:rsidRPr="000A4031" w:rsidRDefault="006A5868" w:rsidP="00A80A37">
      <w:pPr>
        <w:pStyle w:val="FootnoteText"/>
        <w:spacing w:before="40" w:after="40" w:line="276" w:lineRule="auto"/>
        <w:rPr>
          <w:rFonts w:ascii="Calibri" w:hAnsi="Calibri"/>
          <w:sz w:val="18"/>
          <w:szCs w:val="18"/>
        </w:rPr>
      </w:pPr>
      <w:r w:rsidRPr="000A4031">
        <w:rPr>
          <w:rStyle w:val="FootnoteReference"/>
          <w:rFonts w:ascii="Calibri" w:hAnsi="Calibri"/>
          <w:sz w:val="18"/>
          <w:szCs w:val="18"/>
        </w:rPr>
        <w:footnoteRef/>
      </w:r>
      <w:r w:rsidRPr="000A4031">
        <w:rPr>
          <w:rFonts w:ascii="Calibri" w:hAnsi="Calibri"/>
          <w:sz w:val="18"/>
          <w:szCs w:val="18"/>
        </w:rPr>
        <w:t xml:space="preserve"> London Stock Exchange – New Issues (</w:t>
      </w:r>
      <w:hyperlink r:id="rId22" w:history="1">
        <w:r w:rsidRPr="000A4031">
          <w:rPr>
            <w:rStyle w:val="Hyperlink"/>
            <w:rFonts w:ascii="Calibri" w:hAnsi="Calibri"/>
            <w:sz w:val="18"/>
            <w:szCs w:val="18"/>
          </w:rPr>
          <w:t>www.londonstockexchange.com/statistics/new-issues-further-issues/new-issues-further-issues.htm</w:t>
        </w:r>
      </w:hyperlink>
      <w:r w:rsidRPr="000A4031">
        <w:rPr>
          <w:rFonts w:ascii="Calibri" w:hAnsi="Calibri"/>
          <w:sz w:val="18"/>
          <w:szCs w:val="18"/>
        </w:rPr>
        <w:t>)</w:t>
      </w:r>
    </w:p>
  </w:footnote>
  <w:footnote w:id="39">
    <w:p w14:paraId="7F865C18" w14:textId="77777777" w:rsidR="006A5868" w:rsidRPr="000A4031" w:rsidRDefault="006A5868" w:rsidP="00A80A37">
      <w:pPr>
        <w:pStyle w:val="FootnoteText"/>
        <w:spacing w:before="40" w:after="40" w:line="276" w:lineRule="auto"/>
        <w:rPr>
          <w:rFonts w:ascii="Calibri" w:hAnsi="Calibri"/>
          <w:sz w:val="18"/>
          <w:szCs w:val="18"/>
        </w:rPr>
      </w:pPr>
      <w:r w:rsidRPr="000A4031">
        <w:rPr>
          <w:rStyle w:val="FootnoteReference"/>
          <w:rFonts w:ascii="Calibri" w:hAnsi="Calibri"/>
          <w:sz w:val="18"/>
          <w:szCs w:val="18"/>
        </w:rPr>
        <w:footnoteRef/>
      </w:r>
      <w:r w:rsidRPr="000A4031">
        <w:rPr>
          <w:rFonts w:ascii="Calibri" w:hAnsi="Calibri"/>
          <w:sz w:val="18"/>
          <w:szCs w:val="18"/>
        </w:rPr>
        <w:t xml:space="preserve"> For example, re-admission to the market or transfer with a fundraising.</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C26D33" w14:textId="281EC354" w:rsidR="006A5868" w:rsidRPr="008F1710" w:rsidRDefault="00CD5B08" w:rsidP="00CD486B">
    <w:pPr>
      <w:pStyle w:val="Footer"/>
      <w:spacing w:before="40" w:after="40"/>
      <w:jc w:val="right"/>
      <w:rPr>
        <w:rFonts w:ascii="Calibri" w:hAnsi="Calibri"/>
        <w:b/>
        <w:sz w:val="18"/>
      </w:rPr>
    </w:pPr>
    <w:sdt>
      <w:sdtPr>
        <w:rPr>
          <w:rFonts w:ascii="Calibri" w:hAnsi="Calibri"/>
          <w:b/>
          <w:sz w:val="18"/>
        </w:rPr>
        <w:id w:val="-580528579"/>
        <w:docPartObj>
          <w:docPartGallery w:val="Watermarks"/>
          <w:docPartUnique/>
        </w:docPartObj>
      </w:sdtPr>
      <w:sdtEndPr/>
      <w:sdtContent>
        <w:r>
          <w:rPr>
            <w:rFonts w:ascii="Calibri" w:hAnsi="Calibri"/>
            <w:b/>
            <w:noProof/>
            <w:sz w:val="18"/>
            <w:lang w:val="en-US"/>
          </w:rPr>
          <w:pict w14:anchorId="3BFACF6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6A5868" w:rsidRPr="009443D4">
      <w:rPr>
        <w:rFonts w:ascii="Calibri" w:hAnsi="Calibri"/>
        <w:b/>
        <w:sz w:val="18"/>
      </w:rPr>
      <w:t xml:space="preserve">Budget </w:t>
    </w:r>
    <w:r w:rsidR="006A5868">
      <w:rPr>
        <w:rFonts w:ascii="Calibri" w:hAnsi="Calibri"/>
        <w:b/>
        <w:sz w:val="18"/>
      </w:rPr>
      <w:t xml:space="preserve">2019 </w:t>
    </w:r>
    <w:r w:rsidR="006A5868" w:rsidRPr="009443D4">
      <w:rPr>
        <w:rFonts w:ascii="Calibri" w:hAnsi="Calibri"/>
        <w:b/>
        <w:sz w:val="18"/>
      </w:rPr>
      <w:t xml:space="preserve">– </w:t>
    </w:r>
    <w:r w:rsidR="006A5868">
      <w:rPr>
        <w:rFonts w:ascii="Calibri" w:hAnsi="Calibri"/>
        <w:b/>
        <w:sz w:val="18"/>
      </w:rPr>
      <w:t>Generating growth in quoted companies</w:t>
    </w:r>
  </w:p>
  <w:p w14:paraId="2C357C7A" w14:textId="77777777" w:rsidR="006A5868" w:rsidRDefault="006A586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E09AF"/>
    <w:multiLevelType w:val="hybridMultilevel"/>
    <w:tmpl w:val="9502F7A2"/>
    <w:lvl w:ilvl="0" w:tplc="9AD2D140">
      <w:start w:val="1"/>
      <w:numFmt w:val="lowerRoman"/>
      <w:lvlText w:val="(%1)"/>
      <w:lvlJc w:val="left"/>
      <w:pPr>
        <w:ind w:left="720" w:hanging="360"/>
      </w:pPr>
      <w:rPr>
        <w:rFonts w:ascii="Calibri" w:eastAsiaTheme="minorHAnsi" w:hAnsi="Calibri" w:cstheme="minorBidi"/>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7840DD"/>
    <w:multiLevelType w:val="hybridMultilevel"/>
    <w:tmpl w:val="28629E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3B867AB"/>
    <w:multiLevelType w:val="hybridMultilevel"/>
    <w:tmpl w:val="B0D09D4A"/>
    <w:lvl w:ilvl="0" w:tplc="A86CC388">
      <w:start w:val="1"/>
      <w:numFmt w:val="decimal"/>
      <w:lvlText w:val="(%1)"/>
      <w:lvlJc w:val="right"/>
      <w:pPr>
        <w:ind w:left="720" w:hanging="360"/>
      </w:pPr>
      <w:rPr>
        <w:rFonts w:ascii="Calibri" w:eastAsiaTheme="minorHAnsi" w:hAnsi="Calibri" w:cs="Calibri"/>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274691"/>
    <w:multiLevelType w:val="hybridMultilevel"/>
    <w:tmpl w:val="05F4DBF2"/>
    <w:lvl w:ilvl="0" w:tplc="D9761C60">
      <w:start w:val="1"/>
      <w:numFmt w:val="lowerRoman"/>
      <w:lvlText w:val="(%1)"/>
      <w:lvlJc w:val="right"/>
      <w:pPr>
        <w:ind w:left="2236" w:hanging="360"/>
      </w:pPr>
      <w:rPr>
        <w:rFonts w:hint="default"/>
        <w:b/>
      </w:rPr>
    </w:lvl>
    <w:lvl w:ilvl="1" w:tplc="08090019" w:tentative="1">
      <w:start w:val="1"/>
      <w:numFmt w:val="lowerLetter"/>
      <w:lvlText w:val="%2."/>
      <w:lvlJc w:val="left"/>
      <w:pPr>
        <w:ind w:left="2956" w:hanging="360"/>
      </w:pPr>
    </w:lvl>
    <w:lvl w:ilvl="2" w:tplc="0809001B" w:tentative="1">
      <w:start w:val="1"/>
      <w:numFmt w:val="lowerRoman"/>
      <w:lvlText w:val="%3."/>
      <w:lvlJc w:val="right"/>
      <w:pPr>
        <w:ind w:left="3676" w:hanging="180"/>
      </w:pPr>
    </w:lvl>
    <w:lvl w:ilvl="3" w:tplc="0809000F" w:tentative="1">
      <w:start w:val="1"/>
      <w:numFmt w:val="decimal"/>
      <w:lvlText w:val="%4."/>
      <w:lvlJc w:val="left"/>
      <w:pPr>
        <w:ind w:left="4396" w:hanging="360"/>
      </w:pPr>
    </w:lvl>
    <w:lvl w:ilvl="4" w:tplc="08090019" w:tentative="1">
      <w:start w:val="1"/>
      <w:numFmt w:val="lowerLetter"/>
      <w:lvlText w:val="%5."/>
      <w:lvlJc w:val="left"/>
      <w:pPr>
        <w:ind w:left="5116" w:hanging="360"/>
      </w:pPr>
    </w:lvl>
    <w:lvl w:ilvl="5" w:tplc="0809001B" w:tentative="1">
      <w:start w:val="1"/>
      <w:numFmt w:val="lowerRoman"/>
      <w:lvlText w:val="%6."/>
      <w:lvlJc w:val="right"/>
      <w:pPr>
        <w:ind w:left="5836" w:hanging="180"/>
      </w:pPr>
    </w:lvl>
    <w:lvl w:ilvl="6" w:tplc="0809000F" w:tentative="1">
      <w:start w:val="1"/>
      <w:numFmt w:val="decimal"/>
      <w:lvlText w:val="%7."/>
      <w:lvlJc w:val="left"/>
      <w:pPr>
        <w:ind w:left="6556" w:hanging="360"/>
      </w:pPr>
    </w:lvl>
    <w:lvl w:ilvl="7" w:tplc="08090019" w:tentative="1">
      <w:start w:val="1"/>
      <w:numFmt w:val="lowerLetter"/>
      <w:lvlText w:val="%8."/>
      <w:lvlJc w:val="left"/>
      <w:pPr>
        <w:ind w:left="7276" w:hanging="360"/>
      </w:pPr>
    </w:lvl>
    <w:lvl w:ilvl="8" w:tplc="0809001B" w:tentative="1">
      <w:start w:val="1"/>
      <w:numFmt w:val="lowerRoman"/>
      <w:lvlText w:val="%9."/>
      <w:lvlJc w:val="right"/>
      <w:pPr>
        <w:ind w:left="7996" w:hanging="180"/>
      </w:pPr>
    </w:lvl>
  </w:abstractNum>
  <w:abstractNum w:abstractNumId="4" w15:restartNumberingAfterBreak="0">
    <w:nsid w:val="0CDD2DF5"/>
    <w:multiLevelType w:val="hybridMultilevel"/>
    <w:tmpl w:val="7366A676"/>
    <w:lvl w:ilvl="0" w:tplc="FE56F7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584EEE"/>
    <w:multiLevelType w:val="hybridMultilevel"/>
    <w:tmpl w:val="88AA8966"/>
    <w:lvl w:ilvl="0" w:tplc="F370A0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762DB2"/>
    <w:multiLevelType w:val="hybridMultilevel"/>
    <w:tmpl w:val="BE82FF42"/>
    <w:lvl w:ilvl="0" w:tplc="0E10BF80">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104AD4"/>
    <w:multiLevelType w:val="hybridMultilevel"/>
    <w:tmpl w:val="37448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A72C90"/>
    <w:multiLevelType w:val="hybridMultilevel"/>
    <w:tmpl w:val="B76090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6F45330"/>
    <w:multiLevelType w:val="hybridMultilevel"/>
    <w:tmpl w:val="19705272"/>
    <w:lvl w:ilvl="0" w:tplc="54DCDE8C">
      <w:start w:val="1"/>
      <w:numFmt w:val="lowerLetter"/>
      <w:lvlText w:val="(%1)"/>
      <w:lvlJc w:val="right"/>
      <w:pPr>
        <w:ind w:left="720" w:hanging="360"/>
      </w:pPr>
      <w:rPr>
        <w:rFonts w:asciiTheme="minorHAnsi" w:eastAsiaTheme="minorHAnsi" w:hAnsiTheme="minorHAnsi" w:cstheme="minorBidi"/>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4F6508"/>
    <w:multiLevelType w:val="hybridMultilevel"/>
    <w:tmpl w:val="42728286"/>
    <w:lvl w:ilvl="0" w:tplc="08090001">
      <w:start w:val="1"/>
      <w:numFmt w:val="bullet"/>
      <w:lvlText w:val=""/>
      <w:lvlJc w:val="left"/>
      <w:pPr>
        <w:ind w:left="1296" w:hanging="360"/>
      </w:pPr>
      <w:rPr>
        <w:rFonts w:ascii="Symbol" w:hAnsi="Symbol" w:hint="default"/>
      </w:rPr>
    </w:lvl>
    <w:lvl w:ilvl="1" w:tplc="08090003" w:tentative="1">
      <w:start w:val="1"/>
      <w:numFmt w:val="bullet"/>
      <w:lvlText w:val="o"/>
      <w:lvlJc w:val="left"/>
      <w:pPr>
        <w:ind w:left="2016" w:hanging="360"/>
      </w:pPr>
      <w:rPr>
        <w:rFonts w:ascii="Courier New" w:hAnsi="Courier New" w:cs="Courier New" w:hint="default"/>
      </w:rPr>
    </w:lvl>
    <w:lvl w:ilvl="2" w:tplc="08090005" w:tentative="1">
      <w:start w:val="1"/>
      <w:numFmt w:val="bullet"/>
      <w:lvlText w:val=""/>
      <w:lvlJc w:val="left"/>
      <w:pPr>
        <w:ind w:left="2736" w:hanging="360"/>
      </w:pPr>
      <w:rPr>
        <w:rFonts w:ascii="Wingdings" w:hAnsi="Wingdings" w:hint="default"/>
      </w:rPr>
    </w:lvl>
    <w:lvl w:ilvl="3" w:tplc="08090001" w:tentative="1">
      <w:start w:val="1"/>
      <w:numFmt w:val="bullet"/>
      <w:lvlText w:val=""/>
      <w:lvlJc w:val="left"/>
      <w:pPr>
        <w:ind w:left="3456" w:hanging="360"/>
      </w:pPr>
      <w:rPr>
        <w:rFonts w:ascii="Symbol" w:hAnsi="Symbol" w:hint="default"/>
      </w:rPr>
    </w:lvl>
    <w:lvl w:ilvl="4" w:tplc="08090003" w:tentative="1">
      <w:start w:val="1"/>
      <w:numFmt w:val="bullet"/>
      <w:lvlText w:val="o"/>
      <w:lvlJc w:val="left"/>
      <w:pPr>
        <w:ind w:left="4176" w:hanging="360"/>
      </w:pPr>
      <w:rPr>
        <w:rFonts w:ascii="Courier New" w:hAnsi="Courier New" w:cs="Courier New" w:hint="default"/>
      </w:rPr>
    </w:lvl>
    <w:lvl w:ilvl="5" w:tplc="08090005" w:tentative="1">
      <w:start w:val="1"/>
      <w:numFmt w:val="bullet"/>
      <w:lvlText w:val=""/>
      <w:lvlJc w:val="left"/>
      <w:pPr>
        <w:ind w:left="4896" w:hanging="360"/>
      </w:pPr>
      <w:rPr>
        <w:rFonts w:ascii="Wingdings" w:hAnsi="Wingdings" w:hint="default"/>
      </w:rPr>
    </w:lvl>
    <w:lvl w:ilvl="6" w:tplc="08090001" w:tentative="1">
      <w:start w:val="1"/>
      <w:numFmt w:val="bullet"/>
      <w:lvlText w:val=""/>
      <w:lvlJc w:val="left"/>
      <w:pPr>
        <w:ind w:left="5616" w:hanging="360"/>
      </w:pPr>
      <w:rPr>
        <w:rFonts w:ascii="Symbol" w:hAnsi="Symbol" w:hint="default"/>
      </w:rPr>
    </w:lvl>
    <w:lvl w:ilvl="7" w:tplc="08090003" w:tentative="1">
      <w:start w:val="1"/>
      <w:numFmt w:val="bullet"/>
      <w:lvlText w:val="o"/>
      <w:lvlJc w:val="left"/>
      <w:pPr>
        <w:ind w:left="6336" w:hanging="360"/>
      </w:pPr>
      <w:rPr>
        <w:rFonts w:ascii="Courier New" w:hAnsi="Courier New" w:cs="Courier New" w:hint="default"/>
      </w:rPr>
    </w:lvl>
    <w:lvl w:ilvl="8" w:tplc="08090005" w:tentative="1">
      <w:start w:val="1"/>
      <w:numFmt w:val="bullet"/>
      <w:lvlText w:val=""/>
      <w:lvlJc w:val="left"/>
      <w:pPr>
        <w:ind w:left="7056" w:hanging="360"/>
      </w:pPr>
      <w:rPr>
        <w:rFonts w:ascii="Wingdings" w:hAnsi="Wingdings" w:hint="default"/>
      </w:rPr>
    </w:lvl>
  </w:abstractNum>
  <w:abstractNum w:abstractNumId="11" w15:restartNumberingAfterBreak="0">
    <w:nsid w:val="1C0511C7"/>
    <w:multiLevelType w:val="hybridMultilevel"/>
    <w:tmpl w:val="EEC0DA92"/>
    <w:lvl w:ilvl="0" w:tplc="505C6A0E">
      <w:start w:val="1"/>
      <w:numFmt w:val="decimal"/>
      <w:lvlText w:val="%1."/>
      <w:lvlJc w:val="left"/>
      <w:pPr>
        <w:ind w:left="720" w:hanging="360"/>
      </w:pPr>
      <w:rPr>
        <w:rFonts w:ascii="Calibri" w:hAnsi="Calibri" w:hint="default"/>
      </w:rPr>
    </w:lvl>
    <w:lvl w:ilvl="1" w:tplc="973A2AEA">
      <w:start w:val="1"/>
      <w:numFmt w:val="lowerRoman"/>
      <w:lvlText w:val="%2."/>
      <w:lvlJc w:val="left"/>
      <w:pPr>
        <w:ind w:left="1800" w:hanging="720"/>
      </w:pPr>
      <w:rPr>
        <w:rFonts w:hint="default"/>
        <w:b/>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BB3447"/>
    <w:multiLevelType w:val="hybridMultilevel"/>
    <w:tmpl w:val="9C60A63A"/>
    <w:lvl w:ilvl="0" w:tplc="FE56F7F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026264"/>
    <w:multiLevelType w:val="hybridMultilevel"/>
    <w:tmpl w:val="E640A46C"/>
    <w:lvl w:ilvl="0" w:tplc="FE56F7FA">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1F844DD4"/>
    <w:multiLevelType w:val="hybridMultilevel"/>
    <w:tmpl w:val="2ED402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0FA40AF"/>
    <w:multiLevelType w:val="hybridMultilevel"/>
    <w:tmpl w:val="B48E221A"/>
    <w:lvl w:ilvl="0" w:tplc="42041BC2">
      <w:start w:val="1"/>
      <w:numFmt w:val="upperLetter"/>
      <w:lvlText w:val="%1."/>
      <w:lvlJc w:val="left"/>
      <w:pPr>
        <w:ind w:left="720" w:hanging="360"/>
      </w:pPr>
      <w:rPr>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82F4EC0"/>
    <w:multiLevelType w:val="hybridMultilevel"/>
    <w:tmpl w:val="E334FD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83D7238"/>
    <w:multiLevelType w:val="hybridMultilevel"/>
    <w:tmpl w:val="202471E8"/>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9FF5D58"/>
    <w:multiLevelType w:val="hybridMultilevel"/>
    <w:tmpl w:val="0B1EEBB0"/>
    <w:lvl w:ilvl="0" w:tplc="40348FCE">
      <w:start w:val="1"/>
      <w:numFmt w:val="decimal"/>
      <w:lvlText w:val="%1."/>
      <w:lvlJc w:val="left"/>
      <w:pPr>
        <w:ind w:left="862" w:hanging="360"/>
      </w:pPr>
      <w:rPr>
        <w:rFonts w:ascii="Calibri" w:hAnsi="Calibri"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9" w15:restartNumberingAfterBreak="0">
    <w:nsid w:val="2C8516C3"/>
    <w:multiLevelType w:val="hybridMultilevel"/>
    <w:tmpl w:val="3A38DF0C"/>
    <w:lvl w:ilvl="0" w:tplc="8612D5C6">
      <w:start w:val="1"/>
      <w:numFmt w:val="upperRoman"/>
      <w:lvlText w:val="%1."/>
      <w:lvlJc w:val="left"/>
      <w:pPr>
        <w:ind w:left="1080" w:hanging="72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FDC400A"/>
    <w:multiLevelType w:val="hybridMultilevel"/>
    <w:tmpl w:val="FD58B2F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0347498"/>
    <w:multiLevelType w:val="hybridMultilevel"/>
    <w:tmpl w:val="91CCB53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CE6472"/>
    <w:multiLevelType w:val="hybridMultilevel"/>
    <w:tmpl w:val="DA4C5570"/>
    <w:lvl w:ilvl="0" w:tplc="D13EE50E">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B7585B"/>
    <w:multiLevelType w:val="hybridMultilevel"/>
    <w:tmpl w:val="549A2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80316B4"/>
    <w:multiLevelType w:val="hybridMultilevel"/>
    <w:tmpl w:val="2A902B9C"/>
    <w:lvl w:ilvl="0" w:tplc="6960FE02">
      <w:numFmt w:val="bullet"/>
      <w:lvlText w:val="-"/>
      <w:lvlJc w:val="left"/>
      <w:pPr>
        <w:ind w:left="720" w:hanging="360"/>
      </w:pPr>
      <w:rPr>
        <w:rFonts w:ascii="Calibri" w:eastAsiaTheme="minorHAnsi" w:hAnsi="Calibri" w:cstheme="minorBidi"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FF728E"/>
    <w:multiLevelType w:val="hybridMultilevel"/>
    <w:tmpl w:val="21868CFA"/>
    <w:lvl w:ilvl="0" w:tplc="FE56F7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244D27"/>
    <w:multiLevelType w:val="hybridMultilevel"/>
    <w:tmpl w:val="9034B3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A86CC388">
      <w:start w:val="1"/>
      <w:numFmt w:val="decimal"/>
      <w:lvlText w:val="(%4)"/>
      <w:lvlJc w:val="right"/>
      <w:pPr>
        <w:ind w:left="2880" w:hanging="360"/>
      </w:pPr>
      <w:rPr>
        <w:rFonts w:ascii="Calibri" w:eastAsiaTheme="minorHAnsi" w:hAnsi="Calibri" w:cs="Calibri"/>
        <w:b/>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6625D02"/>
    <w:multiLevelType w:val="hybridMultilevel"/>
    <w:tmpl w:val="B49EB3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C482860"/>
    <w:multiLevelType w:val="hybridMultilevel"/>
    <w:tmpl w:val="ACD84614"/>
    <w:lvl w:ilvl="0" w:tplc="1548D702">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75E08F5"/>
    <w:multiLevelType w:val="hybridMultilevel"/>
    <w:tmpl w:val="9AC01CD6"/>
    <w:lvl w:ilvl="0" w:tplc="FE56F7F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14C714E"/>
    <w:multiLevelType w:val="hybridMultilevel"/>
    <w:tmpl w:val="90D265D4"/>
    <w:lvl w:ilvl="0" w:tplc="E566FE7E">
      <w:start w:val="1"/>
      <w:numFmt w:val="upperRoman"/>
      <w:lvlText w:val="%1."/>
      <w:lvlJc w:val="right"/>
      <w:pPr>
        <w:ind w:left="720" w:hanging="360"/>
      </w:pPr>
      <w:rPr>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7D23544"/>
    <w:multiLevelType w:val="hybridMultilevel"/>
    <w:tmpl w:val="D620101C"/>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E811AA9"/>
    <w:multiLevelType w:val="hybridMultilevel"/>
    <w:tmpl w:val="0D280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082123"/>
    <w:multiLevelType w:val="hybridMultilevel"/>
    <w:tmpl w:val="A73C222E"/>
    <w:lvl w:ilvl="0" w:tplc="FE56F7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AD6188"/>
    <w:multiLevelType w:val="hybridMultilevel"/>
    <w:tmpl w:val="D39EF510"/>
    <w:lvl w:ilvl="0" w:tplc="FE56F7FA">
      <w:start w:val="1"/>
      <w:numFmt w:val="bullet"/>
      <w:lvlText w:val=""/>
      <w:lvlJc w:val="left"/>
      <w:pPr>
        <w:ind w:left="1296" w:hanging="360"/>
      </w:pPr>
      <w:rPr>
        <w:rFonts w:ascii="Symbol" w:hAnsi="Symbol" w:hint="default"/>
      </w:rPr>
    </w:lvl>
    <w:lvl w:ilvl="1" w:tplc="08090003" w:tentative="1">
      <w:start w:val="1"/>
      <w:numFmt w:val="bullet"/>
      <w:lvlText w:val="o"/>
      <w:lvlJc w:val="left"/>
      <w:pPr>
        <w:ind w:left="2016" w:hanging="360"/>
      </w:pPr>
      <w:rPr>
        <w:rFonts w:ascii="Courier New" w:hAnsi="Courier New" w:cs="Courier New" w:hint="default"/>
      </w:rPr>
    </w:lvl>
    <w:lvl w:ilvl="2" w:tplc="08090005" w:tentative="1">
      <w:start w:val="1"/>
      <w:numFmt w:val="bullet"/>
      <w:lvlText w:val=""/>
      <w:lvlJc w:val="left"/>
      <w:pPr>
        <w:ind w:left="2736" w:hanging="360"/>
      </w:pPr>
      <w:rPr>
        <w:rFonts w:ascii="Wingdings" w:hAnsi="Wingdings" w:hint="default"/>
      </w:rPr>
    </w:lvl>
    <w:lvl w:ilvl="3" w:tplc="08090001" w:tentative="1">
      <w:start w:val="1"/>
      <w:numFmt w:val="bullet"/>
      <w:lvlText w:val=""/>
      <w:lvlJc w:val="left"/>
      <w:pPr>
        <w:ind w:left="3456" w:hanging="360"/>
      </w:pPr>
      <w:rPr>
        <w:rFonts w:ascii="Symbol" w:hAnsi="Symbol" w:hint="default"/>
      </w:rPr>
    </w:lvl>
    <w:lvl w:ilvl="4" w:tplc="08090003" w:tentative="1">
      <w:start w:val="1"/>
      <w:numFmt w:val="bullet"/>
      <w:lvlText w:val="o"/>
      <w:lvlJc w:val="left"/>
      <w:pPr>
        <w:ind w:left="4176" w:hanging="360"/>
      </w:pPr>
      <w:rPr>
        <w:rFonts w:ascii="Courier New" w:hAnsi="Courier New" w:cs="Courier New" w:hint="default"/>
      </w:rPr>
    </w:lvl>
    <w:lvl w:ilvl="5" w:tplc="08090005" w:tentative="1">
      <w:start w:val="1"/>
      <w:numFmt w:val="bullet"/>
      <w:lvlText w:val=""/>
      <w:lvlJc w:val="left"/>
      <w:pPr>
        <w:ind w:left="4896" w:hanging="360"/>
      </w:pPr>
      <w:rPr>
        <w:rFonts w:ascii="Wingdings" w:hAnsi="Wingdings" w:hint="default"/>
      </w:rPr>
    </w:lvl>
    <w:lvl w:ilvl="6" w:tplc="08090001" w:tentative="1">
      <w:start w:val="1"/>
      <w:numFmt w:val="bullet"/>
      <w:lvlText w:val=""/>
      <w:lvlJc w:val="left"/>
      <w:pPr>
        <w:ind w:left="5616" w:hanging="360"/>
      </w:pPr>
      <w:rPr>
        <w:rFonts w:ascii="Symbol" w:hAnsi="Symbol" w:hint="default"/>
      </w:rPr>
    </w:lvl>
    <w:lvl w:ilvl="7" w:tplc="08090003" w:tentative="1">
      <w:start w:val="1"/>
      <w:numFmt w:val="bullet"/>
      <w:lvlText w:val="o"/>
      <w:lvlJc w:val="left"/>
      <w:pPr>
        <w:ind w:left="6336" w:hanging="360"/>
      </w:pPr>
      <w:rPr>
        <w:rFonts w:ascii="Courier New" w:hAnsi="Courier New" w:cs="Courier New" w:hint="default"/>
      </w:rPr>
    </w:lvl>
    <w:lvl w:ilvl="8" w:tplc="08090005" w:tentative="1">
      <w:start w:val="1"/>
      <w:numFmt w:val="bullet"/>
      <w:lvlText w:val=""/>
      <w:lvlJc w:val="left"/>
      <w:pPr>
        <w:ind w:left="7056" w:hanging="360"/>
      </w:pPr>
      <w:rPr>
        <w:rFonts w:ascii="Wingdings" w:hAnsi="Wingdings" w:hint="default"/>
      </w:rPr>
    </w:lvl>
  </w:abstractNum>
  <w:num w:numId="1">
    <w:abstractNumId w:val="30"/>
  </w:num>
  <w:num w:numId="2">
    <w:abstractNumId w:val="19"/>
  </w:num>
  <w:num w:numId="3">
    <w:abstractNumId w:val="29"/>
  </w:num>
  <w:num w:numId="4">
    <w:abstractNumId w:val="15"/>
  </w:num>
  <w:num w:numId="5">
    <w:abstractNumId w:val="14"/>
  </w:num>
  <w:num w:numId="6">
    <w:abstractNumId w:val="20"/>
  </w:num>
  <w:num w:numId="7">
    <w:abstractNumId w:val="7"/>
  </w:num>
  <w:num w:numId="8">
    <w:abstractNumId w:val="10"/>
  </w:num>
  <w:num w:numId="9">
    <w:abstractNumId w:val="34"/>
  </w:num>
  <w:num w:numId="10">
    <w:abstractNumId w:val="26"/>
  </w:num>
  <w:num w:numId="11">
    <w:abstractNumId w:val="33"/>
  </w:num>
  <w:num w:numId="12">
    <w:abstractNumId w:val="1"/>
  </w:num>
  <w:num w:numId="13">
    <w:abstractNumId w:val="32"/>
  </w:num>
  <w:num w:numId="14">
    <w:abstractNumId w:val="23"/>
  </w:num>
  <w:num w:numId="15">
    <w:abstractNumId w:val="25"/>
  </w:num>
  <w:num w:numId="16">
    <w:abstractNumId w:val="18"/>
  </w:num>
  <w:num w:numId="17">
    <w:abstractNumId w:val="11"/>
  </w:num>
  <w:num w:numId="18">
    <w:abstractNumId w:val="27"/>
  </w:num>
  <w:num w:numId="19">
    <w:abstractNumId w:val="17"/>
  </w:num>
  <w:num w:numId="20">
    <w:abstractNumId w:val="6"/>
  </w:num>
  <w:num w:numId="21">
    <w:abstractNumId w:val="2"/>
  </w:num>
  <w:num w:numId="22">
    <w:abstractNumId w:val="4"/>
  </w:num>
  <w:num w:numId="23">
    <w:abstractNumId w:val="8"/>
  </w:num>
  <w:num w:numId="24">
    <w:abstractNumId w:val="3"/>
  </w:num>
  <w:num w:numId="25">
    <w:abstractNumId w:val="24"/>
  </w:num>
  <w:num w:numId="26">
    <w:abstractNumId w:val="22"/>
  </w:num>
  <w:num w:numId="27">
    <w:abstractNumId w:val="12"/>
  </w:num>
  <w:num w:numId="28">
    <w:abstractNumId w:val="0"/>
  </w:num>
  <w:num w:numId="29">
    <w:abstractNumId w:val="21"/>
  </w:num>
  <w:num w:numId="30">
    <w:abstractNumId w:val="9"/>
  </w:num>
  <w:num w:numId="31">
    <w:abstractNumId w:val="13"/>
  </w:num>
  <w:num w:numId="32">
    <w:abstractNumId w:val="31"/>
  </w:num>
  <w:num w:numId="33">
    <w:abstractNumId w:val="5"/>
  </w:num>
  <w:num w:numId="34">
    <w:abstractNumId w:val="28"/>
  </w:num>
  <w:num w:numId="35">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A39"/>
    <w:rsid w:val="00006E7B"/>
    <w:rsid w:val="00010699"/>
    <w:rsid w:val="00012E65"/>
    <w:rsid w:val="000146C9"/>
    <w:rsid w:val="00025AAE"/>
    <w:rsid w:val="0002684F"/>
    <w:rsid w:val="00033B4E"/>
    <w:rsid w:val="000361D7"/>
    <w:rsid w:val="000374E2"/>
    <w:rsid w:val="00041C64"/>
    <w:rsid w:val="0004347A"/>
    <w:rsid w:val="00052D9C"/>
    <w:rsid w:val="0006364C"/>
    <w:rsid w:val="00071DA1"/>
    <w:rsid w:val="0007307F"/>
    <w:rsid w:val="000838B3"/>
    <w:rsid w:val="0009099E"/>
    <w:rsid w:val="0009134A"/>
    <w:rsid w:val="000932D3"/>
    <w:rsid w:val="000A25C3"/>
    <w:rsid w:val="000A4031"/>
    <w:rsid w:val="000B1FD0"/>
    <w:rsid w:val="000B4CF0"/>
    <w:rsid w:val="000B5F7B"/>
    <w:rsid w:val="000B6427"/>
    <w:rsid w:val="000B77DA"/>
    <w:rsid w:val="000C12A9"/>
    <w:rsid w:val="000D162E"/>
    <w:rsid w:val="000D18D5"/>
    <w:rsid w:val="000F0938"/>
    <w:rsid w:val="000F1727"/>
    <w:rsid w:val="000F1C8A"/>
    <w:rsid w:val="00106C74"/>
    <w:rsid w:val="00107B53"/>
    <w:rsid w:val="00110574"/>
    <w:rsid w:val="001113EE"/>
    <w:rsid w:val="00113903"/>
    <w:rsid w:val="00117126"/>
    <w:rsid w:val="001252DE"/>
    <w:rsid w:val="0012543E"/>
    <w:rsid w:val="00127170"/>
    <w:rsid w:val="00132F28"/>
    <w:rsid w:val="00133595"/>
    <w:rsid w:val="00134A58"/>
    <w:rsid w:val="001422D7"/>
    <w:rsid w:val="0014256E"/>
    <w:rsid w:val="00143426"/>
    <w:rsid w:val="001439DF"/>
    <w:rsid w:val="00147070"/>
    <w:rsid w:val="00151909"/>
    <w:rsid w:val="00153C43"/>
    <w:rsid w:val="0015726C"/>
    <w:rsid w:val="00160EB2"/>
    <w:rsid w:val="00161E4B"/>
    <w:rsid w:val="001708F5"/>
    <w:rsid w:val="00171FBC"/>
    <w:rsid w:val="0017479E"/>
    <w:rsid w:val="0017626E"/>
    <w:rsid w:val="001762CC"/>
    <w:rsid w:val="00180EA0"/>
    <w:rsid w:val="00182CDA"/>
    <w:rsid w:val="00191F0B"/>
    <w:rsid w:val="001935B5"/>
    <w:rsid w:val="001A0828"/>
    <w:rsid w:val="001A2A5C"/>
    <w:rsid w:val="001A2F6F"/>
    <w:rsid w:val="001A4CA4"/>
    <w:rsid w:val="001B674D"/>
    <w:rsid w:val="001C34CC"/>
    <w:rsid w:val="001C4264"/>
    <w:rsid w:val="001C548F"/>
    <w:rsid w:val="001D528A"/>
    <w:rsid w:val="001E41DD"/>
    <w:rsid w:val="001E4DAE"/>
    <w:rsid w:val="001E5E85"/>
    <w:rsid w:val="001E776E"/>
    <w:rsid w:val="001F1ACE"/>
    <w:rsid w:val="002003EA"/>
    <w:rsid w:val="0020066B"/>
    <w:rsid w:val="00200926"/>
    <w:rsid w:val="002067B2"/>
    <w:rsid w:val="00207343"/>
    <w:rsid w:val="00210CCA"/>
    <w:rsid w:val="002116F3"/>
    <w:rsid w:val="00211C92"/>
    <w:rsid w:val="00213FC1"/>
    <w:rsid w:val="002146FA"/>
    <w:rsid w:val="0021580B"/>
    <w:rsid w:val="0022214E"/>
    <w:rsid w:val="00222ABE"/>
    <w:rsid w:val="002302B2"/>
    <w:rsid w:val="00232B66"/>
    <w:rsid w:val="00233725"/>
    <w:rsid w:val="002360A1"/>
    <w:rsid w:val="002448AA"/>
    <w:rsid w:val="00252B30"/>
    <w:rsid w:val="002532B3"/>
    <w:rsid w:val="00253FA7"/>
    <w:rsid w:val="002575D5"/>
    <w:rsid w:val="00274FFA"/>
    <w:rsid w:val="0028052F"/>
    <w:rsid w:val="0028190B"/>
    <w:rsid w:val="00281BC1"/>
    <w:rsid w:val="002A3331"/>
    <w:rsid w:val="002B2307"/>
    <w:rsid w:val="002B6186"/>
    <w:rsid w:val="002D4999"/>
    <w:rsid w:val="002D7C4F"/>
    <w:rsid w:val="002E18DD"/>
    <w:rsid w:val="002E1A11"/>
    <w:rsid w:val="002E354F"/>
    <w:rsid w:val="002F19E5"/>
    <w:rsid w:val="002F53A7"/>
    <w:rsid w:val="002F5DF2"/>
    <w:rsid w:val="002F5EB3"/>
    <w:rsid w:val="00304FB9"/>
    <w:rsid w:val="003137F9"/>
    <w:rsid w:val="00313C3E"/>
    <w:rsid w:val="0032332F"/>
    <w:rsid w:val="003235E8"/>
    <w:rsid w:val="003278DD"/>
    <w:rsid w:val="003279C6"/>
    <w:rsid w:val="0033139E"/>
    <w:rsid w:val="0033306D"/>
    <w:rsid w:val="003339C7"/>
    <w:rsid w:val="0034015F"/>
    <w:rsid w:val="003413FC"/>
    <w:rsid w:val="00344E58"/>
    <w:rsid w:val="00347040"/>
    <w:rsid w:val="003471C0"/>
    <w:rsid w:val="00353788"/>
    <w:rsid w:val="003632B4"/>
    <w:rsid w:val="00372AF8"/>
    <w:rsid w:val="003736D1"/>
    <w:rsid w:val="00373844"/>
    <w:rsid w:val="00373FD8"/>
    <w:rsid w:val="003833EF"/>
    <w:rsid w:val="00383453"/>
    <w:rsid w:val="003A6C28"/>
    <w:rsid w:val="003B1FFE"/>
    <w:rsid w:val="003B78AB"/>
    <w:rsid w:val="003C66E5"/>
    <w:rsid w:val="003D4360"/>
    <w:rsid w:val="003E320A"/>
    <w:rsid w:val="004000E5"/>
    <w:rsid w:val="00402794"/>
    <w:rsid w:val="00403860"/>
    <w:rsid w:val="004051D8"/>
    <w:rsid w:val="00406661"/>
    <w:rsid w:val="00416B91"/>
    <w:rsid w:val="0042607D"/>
    <w:rsid w:val="004309F9"/>
    <w:rsid w:val="004338A9"/>
    <w:rsid w:val="00455922"/>
    <w:rsid w:val="004608B6"/>
    <w:rsid w:val="00461C38"/>
    <w:rsid w:val="0046456B"/>
    <w:rsid w:val="00466167"/>
    <w:rsid w:val="0046711A"/>
    <w:rsid w:val="0046738A"/>
    <w:rsid w:val="00472EB1"/>
    <w:rsid w:val="00474403"/>
    <w:rsid w:val="00474B86"/>
    <w:rsid w:val="00487AFD"/>
    <w:rsid w:val="004922B9"/>
    <w:rsid w:val="00492A79"/>
    <w:rsid w:val="00496F7E"/>
    <w:rsid w:val="004A0730"/>
    <w:rsid w:val="004A60DE"/>
    <w:rsid w:val="004A6CCC"/>
    <w:rsid w:val="004B225C"/>
    <w:rsid w:val="004B5C29"/>
    <w:rsid w:val="004C22F1"/>
    <w:rsid w:val="004C2E34"/>
    <w:rsid w:val="004C3B6E"/>
    <w:rsid w:val="004C446C"/>
    <w:rsid w:val="004D204E"/>
    <w:rsid w:val="004D4DAD"/>
    <w:rsid w:val="004D6A2A"/>
    <w:rsid w:val="004E036B"/>
    <w:rsid w:val="004E3096"/>
    <w:rsid w:val="004E4190"/>
    <w:rsid w:val="004F55AE"/>
    <w:rsid w:val="004F6EFA"/>
    <w:rsid w:val="004F7DC7"/>
    <w:rsid w:val="00500E3A"/>
    <w:rsid w:val="00505D25"/>
    <w:rsid w:val="00506A5A"/>
    <w:rsid w:val="00520B07"/>
    <w:rsid w:val="005268B2"/>
    <w:rsid w:val="00526E18"/>
    <w:rsid w:val="00541F6F"/>
    <w:rsid w:val="00542AE9"/>
    <w:rsid w:val="00550A1E"/>
    <w:rsid w:val="00553213"/>
    <w:rsid w:val="0055639D"/>
    <w:rsid w:val="00563D62"/>
    <w:rsid w:val="00564882"/>
    <w:rsid w:val="00583E47"/>
    <w:rsid w:val="00584F3C"/>
    <w:rsid w:val="00587704"/>
    <w:rsid w:val="0059217B"/>
    <w:rsid w:val="005A4B0D"/>
    <w:rsid w:val="005A619C"/>
    <w:rsid w:val="005A64FF"/>
    <w:rsid w:val="005B24BC"/>
    <w:rsid w:val="005B4E18"/>
    <w:rsid w:val="005B50C2"/>
    <w:rsid w:val="005D11DF"/>
    <w:rsid w:val="005D6D27"/>
    <w:rsid w:val="005E397C"/>
    <w:rsid w:val="005E4317"/>
    <w:rsid w:val="005E4480"/>
    <w:rsid w:val="005E4C25"/>
    <w:rsid w:val="005E58AF"/>
    <w:rsid w:val="005E612D"/>
    <w:rsid w:val="005F17BE"/>
    <w:rsid w:val="005F44AD"/>
    <w:rsid w:val="005F5D15"/>
    <w:rsid w:val="0060036E"/>
    <w:rsid w:val="006026FA"/>
    <w:rsid w:val="00604006"/>
    <w:rsid w:val="0060469E"/>
    <w:rsid w:val="00611C7F"/>
    <w:rsid w:val="006125C5"/>
    <w:rsid w:val="00613165"/>
    <w:rsid w:val="00621F12"/>
    <w:rsid w:val="00623F8C"/>
    <w:rsid w:val="00624A65"/>
    <w:rsid w:val="00630A39"/>
    <w:rsid w:val="006313F9"/>
    <w:rsid w:val="00632E40"/>
    <w:rsid w:val="006347B8"/>
    <w:rsid w:val="00634B1D"/>
    <w:rsid w:val="00636B61"/>
    <w:rsid w:val="006405CC"/>
    <w:rsid w:val="0064725E"/>
    <w:rsid w:val="006473A1"/>
    <w:rsid w:val="00647D9A"/>
    <w:rsid w:val="00650703"/>
    <w:rsid w:val="00650978"/>
    <w:rsid w:val="006556DC"/>
    <w:rsid w:val="00655C12"/>
    <w:rsid w:val="006601AB"/>
    <w:rsid w:val="00665FC8"/>
    <w:rsid w:val="006708B7"/>
    <w:rsid w:val="006725AC"/>
    <w:rsid w:val="00672F13"/>
    <w:rsid w:val="00681DDA"/>
    <w:rsid w:val="006842EA"/>
    <w:rsid w:val="00687852"/>
    <w:rsid w:val="0068789E"/>
    <w:rsid w:val="00695FD9"/>
    <w:rsid w:val="006A31F0"/>
    <w:rsid w:val="006A5868"/>
    <w:rsid w:val="006B5C4C"/>
    <w:rsid w:val="006C1121"/>
    <w:rsid w:val="006C2ACD"/>
    <w:rsid w:val="006C7979"/>
    <w:rsid w:val="006D1A36"/>
    <w:rsid w:val="006E223E"/>
    <w:rsid w:val="006E43D6"/>
    <w:rsid w:val="006F4236"/>
    <w:rsid w:val="006F6AB9"/>
    <w:rsid w:val="007022E2"/>
    <w:rsid w:val="00702A0D"/>
    <w:rsid w:val="00702F31"/>
    <w:rsid w:val="0071051A"/>
    <w:rsid w:val="00712C80"/>
    <w:rsid w:val="007144CC"/>
    <w:rsid w:val="00714D62"/>
    <w:rsid w:val="007254B0"/>
    <w:rsid w:val="00736DE5"/>
    <w:rsid w:val="007400F0"/>
    <w:rsid w:val="00743325"/>
    <w:rsid w:val="00744036"/>
    <w:rsid w:val="00756293"/>
    <w:rsid w:val="0075671B"/>
    <w:rsid w:val="0076114B"/>
    <w:rsid w:val="00761E43"/>
    <w:rsid w:val="00767ADC"/>
    <w:rsid w:val="00767B79"/>
    <w:rsid w:val="00772294"/>
    <w:rsid w:val="007723F2"/>
    <w:rsid w:val="00781DCB"/>
    <w:rsid w:val="007842AE"/>
    <w:rsid w:val="00791F70"/>
    <w:rsid w:val="00796F5D"/>
    <w:rsid w:val="007A6345"/>
    <w:rsid w:val="007A7E4E"/>
    <w:rsid w:val="007B5435"/>
    <w:rsid w:val="007C586B"/>
    <w:rsid w:val="007C5F01"/>
    <w:rsid w:val="007D0CD9"/>
    <w:rsid w:val="007D33A4"/>
    <w:rsid w:val="007D7183"/>
    <w:rsid w:val="007D7734"/>
    <w:rsid w:val="007E23EC"/>
    <w:rsid w:val="007E3CE2"/>
    <w:rsid w:val="007F265B"/>
    <w:rsid w:val="007F3156"/>
    <w:rsid w:val="007F3505"/>
    <w:rsid w:val="007F4BBD"/>
    <w:rsid w:val="007F4DA2"/>
    <w:rsid w:val="007F571B"/>
    <w:rsid w:val="0080144C"/>
    <w:rsid w:val="00801D89"/>
    <w:rsid w:val="00803194"/>
    <w:rsid w:val="008035AA"/>
    <w:rsid w:val="00805681"/>
    <w:rsid w:val="008067C6"/>
    <w:rsid w:val="008162EC"/>
    <w:rsid w:val="00827E19"/>
    <w:rsid w:val="00827E84"/>
    <w:rsid w:val="00831E8E"/>
    <w:rsid w:val="00832753"/>
    <w:rsid w:val="00832CBB"/>
    <w:rsid w:val="00833A1A"/>
    <w:rsid w:val="00835FD8"/>
    <w:rsid w:val="0084069C"/>
    <w:rsid w:val="0084333B"/>
    <w:rsid w:val="008559C8"/>
    <w:rsid w:val="00857605"/>
    <w:rsid w:val="00864697"/>
    <w:rsid w:val="008747B2"/>
    <w:rsid w:val="00877DD7"/>
    <w:rsid w:val="008837CF"/>
    <w:rsid w:val="00892CE7"/>
    <w:rsid w:val="008948D6"/>
    <w:rsid w:val="008978A8"/>
    <w:rsid w:val="008A5778"/>
    <w:rsid w:val="008A578C"/>
    <w:rsid w:val="008A6AE4"/>
    <w:rsid w:val="008A7538"/>
    <w:rsid w:val="008A7703"/>
    <w:rsid w:val="008B3BD7"/>
    <w:rsid w:val="008B5656"/>
    <w:rsid w:val="008B662D"/>
    <w:rsid w:val="008C5079"/>
    <w:rsid w:val="008C57E3"/>
    <w:rsid w:val="008D4529"/>
    <w:rsid w:val="008E352C"/>
    <w:rsid w:val="008E5291"/>
    <w:rsid w:val="008E52BB"/>
    <w:rsid w:val="008F132F"/>
    <w:rsid w:val="008F1710"/>
    <w:rsid w:val="00905697"/>
    <w:rsid w:val="00905787"/>
    <w:rsid w:val="0090679F"/>
    <w:rsid w:val="00910C32"/>
    <w:rsid w:val="00915497"/>
    <w:rsid w:val="0092673A"/>
    <w:rsid w:val="009327A4"/>
    <w:rsid w:val="009338C0"/>
    <w:rsid w:val="00935DDB"/>
    <w:rsid w:val="00936207"/>
    <w:rsid w:val="00937065"/>
    <w:rsid w:val="00941835"/>
    <w:rsid w:val="009426B7"/>
    <w:rsid w:val="009443D4"/>
    <w:rsid w:val="00947213"/>
    <w:rsid w:val="00952428"/>
    <w:rsid w:val="00957D32"/>
    <w:rsid w:val="00966D37"/>
    <w:rsid w:val="00982174"/>
    <w:rsid w:val="009862AE"/>
    <w:rsid w:val="00986551"/>
    <w:rsid w:val="00987CAD"/>
    <w:rsid w:val="00991742"/>
    <w:rsid w:val="00993B6F"/>
    <w:rsid w:val="00996862"/>
    <w:rsid w:val="009A0C1B"/>
    <w:rsid w:val="009A0DD0"/>
    <w:rsid w:val="009A4985"/>
    <w:rsid w:val="009A5E76"/>
    <w:rsid w:val="009B36FC"/>
    <w:rsid w:val="009B5396"/>
    <w:rsid w:val="009B592B"/>
    <w:rsid w:val="009B6231"/>
    <w:rsid w:val="009B7B07"/>
    <w:rsid w:val="009C0AE6"/>
    <w:rsid w:val="009C246F"/>
    <w:rsid w:val="009C3FE3"/>
    <w:rsid w:val="009C516C"/>
    <w:rsid w:val="009E5EC2"/>
    <w:rsid w:val="009F459E"/>
    <w:rsid w:val="00A00E26"/>
    <w:rsid w:val="00A14B49"/>
    <w:rsid w:val="00A179D4"/>
    <w:rsid w:val="00A21E89"/>
    <w:rsid w:val="00A220BB"/>
    <w:rsid w:val="00A2589C"/>
    <w:rsid w:val="00A310FF"/>
    <w:rsid w:val="00A3439F"/>
    <w:rsid w:val="00A376B7"/>
    <w:rsid w:val="00A37FC5"/>
    <w:rsid w:val="00A45212"/>
    <w:rsid w:val="00A45B5A"/>
    <w:rsid w:val="00A46A8E"/>
    <w:rsid w:val="00A521D6"/>
    <w:rsid w:val="00A6478B"/>
    <w:rsid w:val="00A65320"/>
    <w:rsid w:val="00A6762A"/>
    <w:rsid w:val="00A80A37"/>
    <w:rsid w:val="00A95CE7"/>
    <w:rsid w:val="00A97941"/>
    <w:rsid w:val="00AA2D46"/>
    <w:rsid w:val="00AA31CA"/>
    <w:rsid w:val="00AA4D0F"/>
    <w:rsid w:val="00AA5DE1"/>
    <w:rsid w:val="00AA5F8B"/>
    <w:rsid w:val="00AA7207"/>
    <w:rsid w:val="00AA7E56"/>
    <w:rsid w:val="00AB22CD"/>
    <w:rsid w:val="00AB32F2"/>
    <w:rsid w:val="00AB459A"/>
    <w:rsid w:val="00AB53F0"/>
    <w:rsid w:val="00AC03C5"/>
    <w:rsid w:val="00AD524C"/>
    <w:rsid w:val="00AD5749"/>
    <w:rsid w:val="00AD7256"/>
    <w:rsid w:val="00AE04CC"/>
    <w:rsid w:val="00AE0652"/>
    <w:rsid w:val="00AE49A6"/>
    <w:rsid w:val="00AF1745"/>
    <w:rsid w:val="00AF2D54"/>
    <w:rsid w:val="00AF43CC"/>
    <w:rsid w:val="00B02881"/>
    <w:rsid w:val="00B12E15"/>
    <w:rsid w:val="00B23592"/>
    <w:rsid w:val="00B27BF4"/>
    <w:rsid w:val="00B35528"/>
    <w:rsid w:val="00B35D8D"/>
    <w:rsid w:val="00B362CE"/>
    <w:rsid w:val="00B437C0"/>
    <w:rsid w:val="00B4771B"/>
    <w:rsid w:val="00B6259E"/>
    <w:rsid w:val="00B67FB7"/>
    <w:rsid w:val="00B768C1"/>
    <w:rsid w:val="00B82682"/>
    <w:rsid w:val="00B8397E"/>
    <w:rsid w:val="00B85F03"/>
    <w:rsid w:val="00B904E4"/>
    <w:rsid w:val="00B92A29"/>
    <w:rsid w:val="00B93216"/>
    <w:rsid w:val="00BA379F"/>
    <w:rsid w:val="00BA4D98"/>
    <w:rsid w:val="00BB1B37"/>
    <w:rsid w:val="00BB268E"/>
    <w:rsid w:val="00BB7AB4"/>
    <w:rsid w:val="00BC39F5"/>
    <w:rsid w:val="00BC53F8"/>
    <w:rsid w:val="00BC5C3D"/>
    <w:rsid w:val="00BC7A6C"/>
    <w:rsid w:val="00BD02DF"/>
    <w:rsid w:val="00BD385C"/>
    <w:rsid w:val="00BE2CDB"/>
    <w:rsid w:val="00BE2D17"/>
    <w:rsid w:val="00BE4EBB"/>
    <w:rsid w:val="00BE6D3E"/>
    <w:rsid w:val="00BF0E3F"/>
    <w:rsid w:val="00BF7215"/>
    <w:rsid w:val="00C00346"/>
    <w:rsid w:val="00C02AAE"/>
    <w:rsid w:val="00C02C1A"/>
    <w:rsid w:val="00C1772F"/>
    <w:rsid w:val="00C203B9"/>
    <w:rsid w:val="00C21FEE"/>
    <w:rsid w:val="00C23A2D"/>
    <w:rsid w:val="00C3178C"/>
    <w:rsid w:val="00C4032A"/>
    <w:rsid w:val="00C52511"/>
    <w:rsid w:val="00C60AEC"/>
    <w:rsid w:val="00C70BE4"/>
    <w:rsid w:val="00C71FAA"/>
    <w:rsid w:val="00C84233"/>
    <w:rsid w:val="00C901E2"/>
    <w:rsid w:val="00C95E53"/>
    <w:rsid w:val="00CA4F10"/>
    <w:rsid w:val="00CA5384"/>
    <w:rsid w:val="00CB0380"/>
    <w:rsid w:val="00CB2B32"/>
    <w:rsid w:val="00CB5D38"/>
    <w:rsid w:val="00CC4D49"/>
    <w:rsid w:val="00CC6065"/>
    <w:rsid w:val="00CD486B"/>
    <w:rsid w:val="00CD5B08"/>
    <w:rsid w:val="00CD64AE"/>
    <w:rsid w:val="00CD6597"/>
    <w:rsid w:val="00CE25CA"/>
    <w:rsid w:val="00CF1322"/>
    <w:rsid w:val="00CF42FC"/>
    <w:rsid w:val="00CF49D8"/>
    <w:rsid w:val="00CF539B"/>
    <w:rsid w:val="00D044B4"/>
    <w:rsid w:val="00D06285"/>
    <w:rsid w:val="00D10877"/>
    <w:rsid w:val="00D27227"/>
    <w:rsid w:val="00D275B6"/>
    <w:rsid w:val="00D31CB7"/>
    <w:rsid w:val="00D32589"/>
    <w:rsid w:val="00D35539"/>
    <w:rsid w:val="00D37B65"/>
    <w:rsid w:val="00D43B11"/>
    <w:rsid w:val="00D55AD2"/>
    <w:rsid w:val="00D57258"/>
    <w:rsid w:val="00D60996"/>
    <w:rsid w:val="00D63D59"/>
    <w:rsid w:val="00D65554"/>
    <w:rsid w:val="00D6648D"/>
    <w:rsid w:val="00D67559"/>
    <w:rsid w:val="00D76B7C"/>
    <w:rsid w:val="00D77DB8"/>
    <w:rsid w:val="00DA1FBF"/>
    <w:rsid w:val="00DB08CF"/>
    <w:rsid w:val="00DB161F"/>
    <w:rsid w:val="00DB539B"/>
    <w:rsid w:val="00DC0F69"/>
    <w:rsid w:val="00DC2ABA"/>
    <w:rsid w:val="00DC41E7"/>
    <w:rsid w:val="00DC45AE"/>
    <w:rsid w:val="00DD1107"/>
    <w:rsid w:val="00DD2D92"/>
    <w:rsid w:val="00DD3A91"/>
    <w:rsid w:val="00DD71D7"/>
    <w:rsid w:val="00DE0FBC"/>
    <w:rsid w:val="00DE2486"/>
    <w:rsid w:val="00DE3D42"/>
    <w:rsid w:val="00DE4A36"/>
    <w:rsid w:val="00DE7250"/>
    <w:rsid w:val="00DF22D0"/>
    <w:rsid w:val="00DF51E5"/>
    <w:rsid w:val="00E03155"/>
    <w:rsid w:val="00E054D1"/>
    <w:rsid w:val="00E07917"/>
    <w:rsid w:val="00E21AEA"/>
    <w:rsid w:val="00E30C4E"/>
    <w:rsid w:val="00E355BA"/>
    <w:rsid w:val="00E35DFC"/>
    <w:rsid w:val="00E372EF"/>
    <w:rsid w:val="00E37565"/>
    <w:rsid w:val="00E44C44"/>
    <w:rsid w:val="00E50257"/>
    <w:rsid w:val="00E53903"/>
    <w:rsid w:val="00E56448"/>
    <w:rsid w:val="00E576F9"/>
    <w:rsid w:val="00E612EF"/>
    <w:rsid w:val="00E67525"/>
    <w:rsid w:val="00E75518"/>
    <w:rsid w:val="00E76E2D"/>
    <w:rsid w:val="00E8564A"/>
    <w:rsid w:val="00E902C7"/>
    <w:rsid w:val="00EA1AB9"/>
    <w:rsid w:val="00EA325E"/>
    <w:rsid w:val="00EA7F69"/>
    <w:rsid w:val="00EB152C"/>
    <w:rsid w:val="00EB3859"/>
    <w:rsid w:val="00EB62E5"/>
    <w:rsid w:val="00EB7C0B"/>
    <w:rsid w:val="00EC127E"/>
    <w:rsid w:val="00EC50C6"/>
    <w:rsid w:val="00ED1E9D"/>
    <w:rsid w:val="00ED6EF5"/>
    <w:rsid w:val="00EE2D2A"/>
    <w:rsid w:val="00EE6EA4"/>
    <w:rsid w:val="00EF03BB"/>
    <w:rsid w:val="00EF0D34"/>
    <w:rsid w:val="00F00DF1"/>
    <w:rsid w:val="00F014EE"/>
    <w:rsid w:val="00F0302A"/>
    <w:rsid w:val="00F0456A"/>
    <w:rsid w:val="00F1227F"/>
    <w:rsid w:val="00F14167"/>
    <w:rsid w:val="00F16B8E"/>
    <w:rsid w:val="00F16BA5"/>
    <w:rsid w:val="00F16FA9"/>
    <w:rsid w:val="00F17D37"/>
    <w:rsid w:val="00F20D92"/>
    <w:rsid w:val="00F232A3"/>
    <w:rsid w:val="00F26C17"/>
    <w:rsid w:val="00F27B7A"/>
    <w:rsid w:val="00F32F64"/>
    <w:rsid w:val="00F33EAC"/>
    <w:rsid w:val="00F51EF0"/>
    <w:rsid w:val="00F54CA4"/>
    <w:rsid w:val="00F558B5"/>
    <w:rsid w:val="00F577D1"/>
    <w:rsid w:val="00F601E8"/>
    <w:rsid w:val="00F61D26"/>
    <w:rsid w:val="00F63C73"/>
    <w:rsid w:val="00F6484B"/>
    <w:rsid w:val="00F72A74"/>
    <w:rsid w:val="00F73820"/>
    <w:rsid w:val="00F7482D"/>
    <w:rsid w:val="00F74EC8"/>
    <w:rsid w:val="00F80CDB"/>
    <w:rsid w:val="00F812D3"/>
    <w:rsid w:val="00F854C4"/>
    <w:rsid w:val="00F87163"/>
    <w:rsid w:val="00F923B3"/>
    <w:rsid w:val="00F978C7"/>
    <w:rsid w:val="00FA636A"/>
    <w:rsid w:val="00FB3361"/>
    <w:rsid w:val="00FB5262"/>
    <w:rsid w:val="00FC6102"/>
    <w:rsid w:val="00FD457D"/>
    <w:rsid w:val="00FD63DC"/>
    <w:rsid w:val="00FD6C77"/>
    <w:rsid w:val="00FE0B5D"/>
    <w:rsid w:val="00FE1DB6"/>
    <w:rsid w:val="00FE238B"/>
    <w:rsid w:val="00FE4B4A"/>
    <w:rsid w:val="00FF0989"/>
    <w:rsid w:val="00FF0B98"/>
    <w:rsid w:val="00FF12FF"/>
    <w:rsid w:val="00FF344D"/>
    <w:rsid w:val="00FF60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3C9D146"/>
  <w15:docId w15:val="{05F828AA-FE6B-45EA-863A-C1A2254DC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30A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345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0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A39"/>
    <w:rPr>
      <w:rFonts w:ascii="Tahoma" w:hAnsi="Tahoma" w:cs="Tahoma"/>
      <w:sz w:val="16"/>
      <w:szCs w:val="16"/>
    </w:rPr>
  </w:style>
  <w:style w:type="paragraph" w:styleId="Title">
    <w:name w:val="Title"/>
    <w:basedOn w:val="Normal"/>
    <w:next w:val="Normal"/>
    <w:link w:val="TitleChar"/>
    <w:uiPriority w:val="10"/>
    <w:qFormat/>
    <w:rsid w:val="00630A3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30A39"/>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630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0A39"/>
  </w:style>
  <w:style w:type="paragraph" w:styleId="Footer">
    <w:name w:val="footer"/>
    <w:basedOn w:val="Normal"/>
    <w:link w:val="FooterChar"/>
    <w:uiPriority w:val="99"/>
    <w:unhideWhenUsed/>
    <w:rsid w:val="00630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0A39"/>
  </w:style>
  <w:style w:type="character" w:customStyle="1" w:styleId="Heading1Char">
    <w:name w:val="Heading 1 Char"/>
    <w:basedOn w:val="DefaultParagraphFont"/>
    <w:link w:val="Heading1"/>
    <w:uiPriority w:val="9"/>
    <w:rsid w:val="00630A39"/>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F72A74"/>
    <w:pPr>
      <w:outlineLvl w:val="9"/>
    </w:pPr>
    <w:rPr>
      <w:lang w:val="en-US" w:eastAsia="ja-JP"/>
    </w:rPr>
  </w:style>
  <w:style w:type="paragraph" w:styleId="TOC1">
    <w:name w:val="toc 1"/>
    <w:basedOn w:val="Normal"/>
    <w:next w:val="Normal"/>
    <w:autoRedefine/>
    <w:uiPriority w:val="39"/>
    <w:unhideWhenUsed/>
    <w:rsid w:val="005E4C25"/>
    <w:pPr>
      <w:tabs>
        <w:tab w:val="left" w:pos="426"/>
        <w:tab w:val="right" w:leader="dot" w:pos="9736"/>
      </w:tabs>
      <w:spacing w:after="160" w:line="264" w:lineRule="auto"/>
      <w:jc w:val="both"/>
    </w:pPr>
    <w:rPr>
      <w:rFonts w:ascii="Calibri" w:hAnsi="Calibri"/>
      <w:b/>
      <w:noProof/>
      <w:sz w:val="24"/>
    </w:rPr>
  </w:style>
  <w:style w:type="character" w:styleId="Hyperlink">
    <w:name w:val="Hyperlink"/>
    <w:basedOn w:val="DefaultParagraphFont"/>
    <w:uiPriority w:val="99"/>
    <w:unhideWhenUsed/>
    <w:rsid w:val="00F72A74"/>
    <w:rPr>
      <w:color w:val="0000FF" w:themeColor="hyperlink"/>
      <w:u w:val="single"/>
    </w:rPr>
  </w:style>
  <w:style w:type="paragraph" w:styleId="ListParagraph">
    <w:name w:val="List Paragraph"/>
    <w:basedOn w:val="Normal"/>
    <w:uiPriority w:val="34"/>
    <w:qFormat/>
    <w:rsid w:val="001C34CC"/>
    <w:pPr>
      <w:ind w:left="720"/>
      <w:contextualSpacing/>
    </w:pPr>
  </w:style>
  <w:style w:type="character" w:customStyle="1" w:styleId="Heading2Char">
    <w:name w:val="Heading 2 Char"/>
    <w:basedOn w:val="DefaultParagraphFont"/>
    <w:link w:val="Heading2"/>
    <w:uiPriority w:val="9"/>
    <w:rsid w:val="00383453"/>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F14167"/>
    <w:pPr>
      <w:tabs>
        <w:tab w:val="left" w:pos="1134"/>
        <w:tab w:val="right" w:leader="dot" w:pos="9736"/>
      </w:tabs>
      <w:spacing w:after="120"/>
      <w:ind w:left="709" w:hanging="283"/>
    </w:pPr>
  </w:style>
  <w:style w:type="paragraph" w:styleId="FootnoteText">
    <w:name w:val="footnote text"/>
    <w:basedOn w:val="Normal"/>
    <w:link w:val="FootnoteTextChar"/>
    <w:uiPriority w:val="99"/>
    <w:unhideWhenUsed/>
    <w:rsid w:val="001439DF"/>
    <w:pPr>
      <w:spacing w:after="0" w:line="240" w:lineRule="auto"/>
      <w:jc w:val="both"/>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1439DF"/>
    <w:rPr>
      <w:rFonts w:ascii="Times New Roman" w:eastAsia="Times New Roman" w:hAnsi="Times New Roman" w:cs="Times New Roman"/>
      <w:sz w:val="20"/>
      <w:szCs w:val="20"/>
    </w:rPr>
  </w:style>
  <w:style w:type="character" w:styleId="FootnoteReference">
    <w:name w:val="footnote reference"/>
    <w:uiPriority w:val="99"/>
    <w:unhideWhenUsed/>
    <w:rsid w:val="001439DF"/>
    <w:rPr>
      <w:vertAlign w:val="superscript"/>
    </w:rPr>
  </w:style>
  <w:style w:type="character" w:styleId="CommentReference">
    <w:name w:val="annotation reference"/>
    <w:basedOn w:val="DefaultParagraphFont"/>
    <w:uiPriority w:val="99"/>
    <w:semiHidden/>
    <w:unhideWhenUsed/>
    <w:rsid w:val="001439DF"/>
    <w:rPr>
      <w:sz w:val="16"/>
      <w:szCs w:val="16"/>
    </w:rPr>
  </w:style>
  <w:style w:type="paragraph" w:styleId="CommentText">
    <w:name w:val="annotation text"/>
    <w:basedOn w:val="Normal"/>
    <w:link w:val="CommentTextChar"/>
    <w:uiPriority w:val="99"/>
    <w:semiHidden/>
    <w:unhideWhenUsed/>
    <w:rsid w:val="001439DF"/>
    <w:pPr>
      <w:spacing w:line="240" w:lineRule="auto"/>
    </w:pPr>
    <w:rPr>
      <w:sz w:val="20"/>
      <w:szCs w:val="20"/>
    </w:rPr>
  </w:style>
  <w:style w:type="character" w:customStyle="1" w:styleId="CommentTextChar">
    <w:name w:val="Comment Text Char"/>
    <w:basedOn w:val="DefaultParagraphFont"/>
    <w:link w:val="CommentText"/>
    <w:uiPriority w:val="99"/>
    <w:semiHidden/>
    <w:rsid w:val="001439DF"/>
    <w:rPr>
      <w:sz w:val="20"/>
      <w:szCs w:val="20"/>
    </w:rPr>
  </w:style>
  <w:style w:type="paragraph" w:styleId="CommentSubject">
    <w:name w:val="annotation subject"/>
    <w:basedOn w:val="CommentText"/>
    <w:next w:val="CommentText"/>
    <w:link w:val="CommentSubjectChar"/>
    <w:uiPriority w:val="99"/>
    <w:semiHidden/>
    <w:unhideWhenUsed/>
    <w:rsid w:val="001439DF"/>
    <w:rPr>
      <w:b/>
      <w:bCs/>
    </w:rPr>
  </w:style>
  <w:style w:type="character" w:customStyle="1" w:styleId="CommentSubjectChar">
    <w:name w:val="Comment Subject Char"/>
    <w:basedOn w:val="CommentTextChar"/>
    <w:link w:val="CommentSubject"/>
    <w:uiPriority w:val="99"/>
    <w:semiHidden/>
    <w:rsid w:val="001439DF"/>
    <w:rPr>
      <w:b/>
      <w:bCs/>
      <w:sz w:val="20"/>
      <w:szCs w:val="20"/>
    </w:rPr>
  </w:style>
  <w:style w:type="paragraph" w:styleId="BodyText">
    <w:name w:val="Body Text"/>
    <w:basedOn w:val="Normal"/>
    <w:link w:val="BodyTextChar"/>
    <w:rsid w:val="00207343"/>
    <w:pPr>
      <w:spacing w:after="0" w:line="240" w:lineRule="auto"/>
      <w:jc w:val="both"/>
    </w:pPr>
    <w:rPr>
      <w:rFonts w:ascii="Times New Roman" w:eastAsia="Times New Roman" w:hAnsi="Times New Roman" w:cs="Times New Roman"/>
      <w:b/>
      <w:color w:val="000000"/>
      <w:szCs w:val="20"/>
    </w:rPr>
  </w:style>
  <w:style w:type="character" w:customStyle="1" w:styleId="BodyTextChar">
    <w:name w:val="Body Text Char"/>
    <w:basedOn w:val="DefaultParagraphFont"/>
    <w:link w:val="BodyText"/>
    <w:rsid w:val="00207343"/>
    <w:rPr>
      <w:rFonts w:ascii="Times New Roman" w:eastAsia="Times New Roman" w:hAnsi="Times New Roman" w:cs="Times New Roman"/>
      <w:b/>
      <w:color w:val="000000"/>
      <w:szCs w:val="20"/>
    </w:rPr>
  </w:style>
  <w:style w:type="table" w:styleId="TableGrid">
    <w:name w:val="Table Grid"/>
    <w:basedOn w:val="TableNormal"/>
    <w:uiPriority w:val="59"/>
    <w:rsid w:val="00207343"/>
    <w:pPr>
      <w:spacing w:after="0" w:line="240" w:lineRule="auto"/>
    </w:pPr>
    <w:rPr>
      <w:rFonts w:ascii="Calibri" w:eastAsia="Times New Roman" w:hAnsi="Calibri"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559C8"/>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pple-converted-space">
    <w:name w:val="apple-converted-space"/>
    <w:basedOn w:val="DefaultParagraphFont"/>
    <w:rsid w:val="00B35D8D"/>
  </w:style>
  <w:style w:type="character" w:styleId="FollowedHyperlink">
    <w:name w:val="FollowedHyperlink"/>
    <w:basedOn w:val="DefaultParagraphFont"/>
    <w:uiPriority w:val="99"/>
    <w:semiHidden/>
    <w:unhideWhenUsed/>
    <w:rsid w:val="009A4985"/>
    <w:rPr>
      <w:color w:val="800080" w:themeColor="followedHyperlink"/>
      <w:u w:val="single"/>
    </w:rPr>
  </w:style>
  <w:style w:type="paragraph" w:styleId="EndnoteText">
    <w:name w:val="endnote text"/>
    <w:basedOn w:val="Normal"/>
    <w:link w:val="EndnoteTextChar"/>
    <w:uiPriority w:val="99"/>
    <w:unhideWhenUsed/>
    <w:rsid w:val="000F1C8A"/>
    <w:pPr>
      <w:spacing w:after="0" w:line="240" w:lineRule="auto"/>
      <w:jc w:val="both"/>
    </w:pPr>
    <w:rPr>
      <w:rFonts w:ascii="Times New Roman" w:eastAsia="Calibri" w:hAnsi="Times New Roman" w:cs="Times New Roman"/>
      <w:sz w:val="20"/>
      <w:szCs w:val="20"/>
    </w:rPr>
  </w:style>
  <w:style w:type="character" w:customStyle="1" w:styleId="EndnoteTextChar">
    <w:name w:val="Endnote Text Char"/>
    <w:basedOn w:val="DefaultParagraphFont"/>
    <w:link w:val="EndnoteText"/>
    <w:uiPriority w:val="99"/>
    <w:rsid w:val="000F1C8A"/>
    <w:rPr>
      <w:rFonts w:ascii="Times New Roman" w:eastAsia="Calibri" w:hAnsi="Times New Roman" w:cs="Times New Roman"/>
      <w:sz w:val="20"/>
      <w:szCs w:val="20"/>
    </w:rPr>
  </w:style>
  <w:style w:type="character" w:styleId="EndnoteReference">
    <w:name w:val="endnote reference"/>
    <w:basedOn w:val="DefaultParagraphFont"/>
    <w:uiPriority w:val="99"/>
    <w:semiHidden/>
    <w:unhideWhenUsed/>
    <w:rsid w:val="000F1C8A"/>
    <w:rPr>
      <w:vertAlign w:val="superscript"/>
    </w:rPr>
  </w:style>
  <w:style w:type="table" w:styleId="LightShading">
    <w:name w:val="Light Shading"/>
    <w:basedOn w:val="TableNormal"/>
    <w:uiPriority w:val="60"/>
    <w:rsid w:val="001A2A5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unhideWhenUsed/>
    <w:rsid w:val="001A2A5C"/>
    <w:pPr>
      <w:spacing w:after="150" w:line="240" w:lineRule="auto"/>
    </w:pPr>
    <w:rPr>
      <w:rFonts w:ascii="Times New Roman" w:eastAsia="Times New Roman" w:hAnsi="Times New Roman" w:cs="Times New Roman"/>
      <w:sz w:val="24"/>
      <w:szCs w:val="24"/>
      <w:lang w:eastAsia="en-GB"/>
    </w:rPr>
  </w:style>
  <w:style w:type="table" w:styleId="MediumList1">
    <w:name w:val="Medium List 1"/>
    <w:basedOn w:val="TableNormal"/>
    <w:uiPriority w:val="65"/>
    <w:rsid w:val="00E8564A"/>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5">
    <w:name w:val="Medium List 1 Accent 5"/>
    <w:basedOn w:val="TableNormal"/>
    <w:uiPriority w:val="65"/>
    <w:rsid w:val="00CB2B32"/>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2-Accent2">
    <w:name w:val="Medium List 2 Accent 2"/>
    <w:basedOn w:val="TableNormal"/>
    <w:uiPriority w:val="66"/>
    <w:rsid w:val="00474B8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474B86"/>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Revision">
    <w:name w:val="Revision"/>
    <w:hidden/>
    <w:uiPriority w:val="99"/>
    <w:semiHidden/>
    <w:rsid w:val="00F14167"/>
    <w:pPr>
      <w:spacing w:after="0" w:line="240" w:lineRule="auto"/>
    </w:pPr>
  </w:style>
  <w:style w:type="table" w:styleId="PlainTable1">
    <w:name w:val="Plain Table 1"/>
    <w:basedOn w:val="TableNormal"/>
    <w:uiPriority w:val="41"/>
    <w:rsid w:val="00A310F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298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theqca.com" TargetMode="External"/><Relationship Id="rId2" Type="http://schemas.openxmlformats.org/officeDocument/2006/relationships/numbering" Target="numbering.xml"/><Relationship Id="rId16" Type="http://schemas.openxmlformats.org/officeDocument/2006/relationships/hyperlink" Target="mailto:jack.marshall@theqc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anthony.robinson@theqca.com" TargetMode="External"/><Relationship Id="rId10" Type="http://schemas.openxmlformats.org/officeDocument/2006/relationships/image" Target="media/image20.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tim.ward@theqca.co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londonstockexchange.com/companies-and-advisors/main-market/documents/listing2018aprilnew.pdf" TargetMode="External"/><Relationship Id="rId13" Type="http://schemas.openxmlformats.org/officeDocument/2006/relationships/hyperlink" Target="http://theownershipeffect.co.uk/wp-content/uploads/Global_literature_review_The_Ownership_Effect_Inquiry-What_does_the_evidence_tell_us_June_2017.pdf" TargetMode="External"/><Relationship Id="rId18" Type="http://schemas.openxmlformats.org/officeDocument/2006/relationships/hyperlink" Target="https://assets.publishing.service.gov.uk/government/uploads/system/uploads/attachment_data/file/193496/ots_length_legislation_paper.pdf" TargetMode="External"/><Relationship Id="rId3" Type="http://schemas.openxmlformats.org/officeDocument/2006/relationships/hyperlink" Target="http://dx.doi.org/10.1787/5kg3k8ksgglw-en" TargetMode="External"/><Relationship Id="rId21" Type="http://schemas.openxmlformats.org/officeDocument/2006/relationships/hyperlink" Target="http://www.londonstockexchange.com/statistics/new-issues-further-issues/new-issues-further-issues.htm" TargetMode="External"/><Relationship Id="rId7" Type="http://schemas.openxmlformats.org/officeDocument/2006/relationships/hyperlink" Target="http://www.londonstockexchange.com/companies-and-advisors/main-market/documents/listing2018aprilnew.pdf" TargetMode="External"/><Relationship Id="rId12" Type="http://schemas.openxmlformats.org/officeDocument/2006/relationships/hyperlink" Target="https://assets.publishing.service.gov.uk/government/uploads/system/uploads/attachment_data/file/642456/financing_growth_in_innovative_firms_consultation_web.pdf" TargetMode="External"/><Relationship Id="rId17" Type="http://schemas.openxmlformats.org/officeDocument/2006/relationships/hyperlink" Target="http://www.hardmanandco.com/docs/default-source/mohtnly-newsletters/hardman-monthly-october-2017.pdf" TargetMode="External"/><Relationship Id="rId2" Type="http://schemas.openxmlformats.org/officeDocument/2006/relationships/hyperlink" Target="https://www.linkassetservices.com/file.axd?pointerid=5b3a1ace8bcbe7006810403b" TargetMode="External"/><Relationship Id="rId16" Type="http://schemas.openxmlformats.org/officeDocument/2006/relationships/hyperlink" Target="https://assets.publishing.service.gov.uk/government/uploads/system/uploads/attachment_data/file/724508/Table6-4.pdf" TargetMode="External"/><Relationship Id="rId20" Type="http://schemas.openxmlformats.org/officeDocument/2006/relationships/hyperlink" Target="https://www.ifs.org.uk/uploads/publications/TLRC/TLRC_OTS_DP_11.pdf" TargetMode="External"/><Relationship Id="rId1" Type="http://schemas.openxmlformats.org/officeDocument/2006/relationships/hyperlink" Target="https://www.hardmanandco.com/wp-content/uploads/2019/05/How-small-and-mid-cap-quoted-companies-make-a-substantial-contribution-to-markets-employment-and-tax-revenues.pdf" TargetMode="External"/><Relationship Id="rId6" Type="http://schemas.openxmlformats.org/officeDocument/2006/relationships/hyperlink" Target="http://ec.europa.eu/finance/capital-markets-union/docs/building-cmu-action-plan_en.pdf" TargetMode="External"/><Relationship Id="rId11" Type="http://schemas.openxmlformats.org/officeDocument/2006/relationships/hyperlink" Target="https://www.londonstockexchange.com/companies-and-advisors/aim/publications/documents/gteconomicimpactofaim2015.pdf" TargetMode="External"/><Relationship Id="rId5" Type="http://schemas.openxmlformats.org/officeDocument/2006/relationships/hyperlink" Target="https://www.thecityuk.com/assets/2015/Reports-PDF/ELR-Capital-Markets-for-Growing-Companies.pdf" TargetMode="External"/><Relationship Id="rId15" Type="http://schemas.openxmlformats.org/officeDocument/2006/relationships/hyperlink" Target="https://www.gov.uk/government/uploads/system/uploads/attachment_data/file/198444/ots_share_schemes_060312.pdf" TargetMode="External"/><Relationship Id="rId10" Type="http://schemas.openxmlformats.org/officeDocument/2006/relationships/hyperlink" Target="https://www.londonstockexchange.com/statistics/markets/aim/aim.htm" TargetMode="External"/><Relationship Id="rId19" Type="http://schemas.openxmlformats.org/officeDocument/2006/relationships/hyperlink" Target="http://www.legislation.gov.uk/ukpga/2016/24/pdfs/ukpga_20160024_en.pdf" TargetMode="External"/><Relationship Id="rId4" Type="http://schemas.openxmlformats.org/officeDocument/2006/relationships/hyperlink" Target="http://www.imf.org/en/Publications/Policy-Papers/Issues/2016/12/31/Tax-Policy-Leverage-and-Macroeconomic-Stability-PP5073" TargetMode="External"/><Relationship Id="rId9" Type="http://schemas.openxmlformats.org/officeDocument/2006/relationships/hyperlink" Target="http://www.londonstockexchange.com/statistics/new-issues-further-issues/new-issues-further-issues.htm" TargetMode="External"/><Relationship Id="rId14" Type="http://schemas.openxmlformats.org/officeDocument/2006/relationships/hyperlink" Target="https://assets.publishing.service.gov.uk/government/uploads/system/uploads/attachment_data/file/724516/Table6-5.pdf" TargetMode="External"/><Relationship Id="rId22" Type="http://schemas.openxmlformats.org/officeDocument/2006/relationships/hyperlink" Target="http://www.londonstockexchange.com/statistics/new-issues-further-issues/new-issues-further-issue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8D5290-18EC-4ABC-9A7F-B5281CEC9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41</Pages>
  <Words>11084</Words>
  <Characters>63182</Characters>
  <Application>Microsoft Office Word</Application>
  <DocSecurity>0</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Callum Anderson</dc:creator>
  <cp:lastModifiedBy>Jack Marshall</cp:lastModifiedBy>
  <cp:revision>28</cp:revision>
  <cp:lastPrinted>2019-09-06T08:25:00Z</cp:lastPrinted>
  <dcterms:created xsi:type="dcterms:W3CDTF">2019-09-06T13:10:00Z</dcterms:created>
  <dcterms:modified xsi:type="dcterms:W3CDTF">2019-09-11T10:32:00Z</dcterms:modified>
</cp:coreProperties>
</file>